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A113" w14:textId="77777777" w:rsidR="003019DD" w:rsidRDefault="003019DD">
      <w:pPr>
        <w:pStyle w:val="Intestazione"/>
        <w:jc w:val="center"/>
        <w:rPr>
          <w:b/>
          <w:bCs/>
          <w:sz w:val="28"/>
          <w:szCs w:val="28"/>
        </w:rPr>
      </w:pPr>
    </w:p>
    <w:p w14:paraId="5F2A44B8" w14:textId="77777777" w:rsidR="003019DD" w:rsidRDefault="003019DD">
      <w:pPr>
        <w:pStyle w:val="Intestazione"/>
        <w:jc w:val="center"/>
        <w:rPr>
          <w:b/>
          <w:bCs/>
          <w:sz w:val="28"/>
          <w:szCs w:val="28"/>
        </w:rPr>
      </w:pPr>
    </w:p>
    <w:p w14:paraId="739B397B" w14:textId="77777777" w:rsidR="003019DD" w:rsidRDefault="00F90702">
      <w:pPr>
        <w:pStyle w:val="Intestazione"/>
        <w:jc w:val="center"/>
        <w:rPr>
          <w:b/>
          <w:bCs/>
          <w:sz w:val="28"/>
          <w:szCs w:val="28"/>
        </w:rPr>
      </w:pPr>
      <w:r>
        <w:rPr>
          <w:b/>
          <w:bCs/>
          <w:sz w:val="28"/>
          <w:szCs w:val="28"/>
        </w:rPr>
        <w:t xml:space="preserve">Misura «Semplificazione digitale dei servizi regionali per cittadini e imprese: dematerializzazione pratiche amministrative – Mude e ARADA» </w:t>
      </w:r>
    </w:p>
    <w:p w14:paraId="24F92071" w14:textId="77777777" w:rsidR="003019DD" w:rsidRDefault="00F90702">
      <w:pPr>
        <w:pStyle w:val="Intestazione"/>
        <w:jc w:val="center"/>
        <w:rPr>
          <w:sz w:val="28"/>
          <w:szCs w:val="28"/>
        </w:rPr>
      </w:pPr>
      <w:r>
        <w:rPr>
          <w:b/>
          <w:bCs/>
          <w:sz w:val="28"/>
          <w:szCs w:val="28"/>
        </w:rPr>
        <w:t>POR FESR 2014-2020 - Asse II AGENDA DIGITALE - Obiettivo specifico II.2C.2</w:t>
      </w:r>
      <w:r>
        <w:rPr>
          <w:sz w:val="28"/>
          <w:szCs w:val="28"/>
        </w:rPr>
        <w:t xml:space="preserve"> “</w:t>
      </w:r>
      <w:r>
        <w:rPr>
          <w:i/>
          <w:iCs/>
          <w:sz w:val="28"/>
          <w:szCs w:val="28"/>
        </w:rPr>
        <w:t>Digitalizzazione processi amministrativi e diffusione servizi digitali pienamente interoperabili</w:t>
      </w:r>
      <w:r>
        <w:rPr>
          <w:sz w:val="28"/>
          <w:szCs w:val="28"/>
        </w:rPr>
        <w:t>”</w:t>
      </w:r>
    </w:p>
    <w:p w14:paraId="045E532A" w14:textId="77777777" w:rsidR="003019DD" w:rsidRDefault="00F90702">
      <w:pPr>
        <w:pStyle w:val="Intestazione"/>
        <w:jc w:val="center"/>
        <w:rPr>
          <w:sz w:val="28"/>
          <w:szCs w:val="28"/>
        </w:rPr>
      </w:pPr>
      <w:r>
        <w:rPr>
          <w:sz w:val="28"/>
          <w:szCs w:val="28"/>
        </w:rPr>
        <w:t>Azione II.2C.2.1 Soluzioni tecnologiche per la digitalizzazione e l’innovazione dei processi interni dei vari ambiti della Pubblica Amministrazione.</w:t>
      </w:r>
    </w:p>
    <w:p w14:paraId="31A92A01" w14:textId="77777777" w:rsidR="003019DD" w:rsidRDefault="003019DD">
      <w:pPr>
        <w:pStyle w:val="Titolo1"/>
        <w:jc w:val="center"/>
        <w:rPr>
          <w:rFonts w:asciiTheme="minorHAnsi" w:eastAsiaTheme="minorHAnsi" w:hAnsiTheme="minorHAnsi" w:cstheme="minorBidi"/>
          <w:kern w:val="0"/>
          <w:sz w:val="28"/>
          <w:szCs w:val="28"/>
          <w:lang w:eastAsia="en-US"/>
        </w:rPr>
      </w:pPr>
    </w:p>
    <w:p w14:paraId="41BD4799" w14:textId="77777777" w:rsidR="003019DD" w:rsidRDefault="00F90702">
      <w:pPr>
        <w:pStyle w:val="Titolo1"/>
        <w:jc w:val="center"/>
      </w:pPr>
      <w:r>
        <w:rPr>
          <w:rFonts w:asciiTheme="minorHAnsi" w:eastAsiaTheme="minorHAnsi" w:hAnsiTheme="minorHAnsi" w:cstheme="minorBidi"/>
          <w:kern w:val="0"/>
          <w:sz w:val="36"/>
          <w:szCs w:val="36"/>
          <w:lang w:eastAsia="en-US"/>
        </w:rPr>
        <w:t>Laboratorio di progettazione Edilizia</w:t>
      </w:r>
    </w:p>
    <w:p w14:paraId="15708D41" w14:textId="1285F78D" w:rsidR="003019DD" w:rsidRPr="00984227" w:rsidRDefault="00F90702">
      <w:pPr>
        <w:pStyle w:val="Titolo1"/>
        <w:jc w:val="center"/>
        <w:rPr>
          <w:rFonts w:asciiTheme="minorHAnsi" w:eastAsiaTheme="minorHAnsi" w:hAnsiTheme="minorHAnsi" w:cstheme="minorBidi"/>
        </w:rPr>
      </w:pPr>
      <w:r w:rsidRPr="00984227">
        <w:rPr>
          <w:rFonts w:ascii="Calibri" w:eastAsiaTheme="minorHAnsi" w:hAnsi="Calibri" w:cstheme="minorBidi"/>
          <w:kern w:val="0"/>
          <w:sz w:val="36"/>
          <w:szCs w:val="36"/>
          <w:lang w:eastAsia="en-US"/>
        </w:rPr>
        <w:t>16/</w:t>
      </w:r>
      <w:r w:rsidR="007C770E">
        <w:rPr>
          <w:rFonts w:ascii="Calibri" w:eastAsiaTheme="minorHAnsi" w:hAnsi="Calibri" w:cstheme="minorBidi"/>
          <w:kern w:val="0"/>
          <w:sz w:val="36"/>
          <w:szCs w:val="36"/>
          <w:lang w:eastAsia="en-US"/>
        </w:rPr>
        <w:t>12</w:t>
      </w:r>
      <w:r w:rsidRPr="00984227">
        <w:rPr>
          <w:rFonts w:ascii="Calibri" w:eastAsiaTheme="minorHAnsi" w:hAnsi="Calibri" w:cstheme="minorBidi"/>
          <w:kern w:val="0"/>
          <w:sz w:val="36"/>
          <w:szCs w:val="36"/>
          <w:lang w:eastAsia="en-US"/>
        </w:rPr>
        <w:t>/202</w:t>
      </w:r>
      <w:r w:rsidR="007C770E">
        <w:rPr>
          <w:rFonts w:ascii="Calibri" w:eastAsiaTheme="minorHAnsi" w:hAnsi="Calibri" w:cstheme="minorBidi"/>
          <w:kern w:val="0"/>
          <w:sz w:val="36"/>
          <w:szCs w:val="36"/>
          <w:lang w:eastAsia="en-US"/>
        </w:rPr>
        <w:t>0</w:t>
      </w:r>
    </w:p>
    <w:p w14:paraId="19E7B3D5" w14:textId="77777777" w:rsidR="003019DD" w:rsidRDefault="00F90702">
      <w:pPr>
        <w:pStyle w:val="Titolo1"/>
        <w:jc w:val="center"/>
        <w:rPr>
          <w:rFonts w:asciiTheme="minorHAnsi" w:eastAsiaTheme="minorHAnsi" w:hAnsiTheme="minorHAnsi" w:cstheme="minorBidi"/>
          <w:kern w:val="0"/>
          <w:sz w:val="36"/>
          <w:szCs w:val="36"/>
          <w:lang w:eastAsia="en-US"/>
        </w:rPr>
      </w:pPr>
      <w:r>
        <w:rPr>
          <w:rFonts w:asciiTheme="minorHAnsi" w:eastAsiaTheme="minorHAnsi" w:hAnsiTheme="minorHAnsi" w:cstheme="minorBidi"/>
          <w:kern w:val="0"/>
          <w:sz w:val="36"/>
          <w:szCs w:val="36"/>
          <w:lang w:eastAsia="en-US"/>
        </w:rPr>
        <w:t>Design Thinking Workshop</w:t>
      </w:r>
    </w:p>
    <w:p w14:paraId="68EAB536" w14:textId="77777777" w:rsidR="003019DD" w:rsidRDefault="00F90702">
      <w:pPr>
        <w:pStyle w:val="Titolo1"/>
        <w:jc w:val="center"/>
        <w:rPr>
          <w:rFonts w:asciiTheme="minorHAnsi" w:eastAsiaTheme="minorHAnsi" w:hAnsiTheme="minorHAnsi" w:cstheme="minorBidi"/>
          <w:b w:val="0"/>
          <w:bCs w:val="0"/>
          <w:i/>
          <w:iCs/>
          <w:kern w:val="0"/>
          <w:sz w:val="28"/>
          <w:szCs w:val="28"/>
          <w:lang w:eastAsia="en-US"/>
        </w:rPr>
      </w:pPr>
      <w:r>
        <w:rPr>
          <w:rFonts w:asciiTheme="minorHAnsi" w:eastAsiaTheme="minorHAnsi" w:hAnsiTheme="minorHAnsi" w:cstheme="minorBidi"/>
          <w:i/>
          <w:iCs/>
          <w:kern w:val="0"/>
          <w:sz w:val="28"/>
          <w:szCs w:val="28"/>
          <w:lang w:eastAsia="en-US"/>
        </w:rPr>
        <w:t>Restituzione feedback emersi dal confronto con i partecipanti</w:t>
      </w:r>
    </w:p>
    <w:p w14:paraId="0F36D9B9" w14:textId="77777777" w:rsidR="003019DD" w:rsidRDefault="00F90702">
      <w:pPr>
        <w:spacing w:after="160" w:line="259" w:lineRule="auto"/>
        <w:rPr>
          <w:rFonts w:ascii="Avenir Next" w:hAnsi="Avenir Next"/>
          <w:b/>
          <w:bCs/>
          <w:sz w:val="28"/>
          <w:szCs w:val="28"/>
        </w:rPr>
      </w:pPr>
      <w:r>
        <w:br w:type="page"/>
      </w:r>
    </w:p>
    <w:p w14:paraId="464B4069" w14:textId="77777777" w:rsidR="003019DD" w:rsidRDefault="003019DD">
      <w:pPr>
        <w:rPr>
          <w:rFonts w:ascii="Avenir Next" w:hAnsi="Avenir Next"/>
          <w:b/>
          <w:bCs/>
          <w:sz w:val="28"/>
          <w:szCs w:val="28"/>
        </w:rPr>
      </w:pPr>
    </w:p>
    <w:p w14:paraId="4FF2CA72" w14:textId="77777777" w:rsidR="003019DD" w:rsidRDefault="00F90702">
      <w:pPr>
        <w:rPr>
          <w:rFonts w:ascii="Avenir Next" w:hAnsi="Avenir Next"/>
          <w:b/>
          <w:bCs/>
          <w:sz w:val="28"/>
          <w:szCs w:val="28"/>
        </w:rPr>
      </w:pPr>
      <w:r>
        <w:rPr>
          <w:rFonts w:ascii="Avenir Next" w:hAnsi="Avenir Next"/>
          <w:b/>
          <w:bCs/>
          <w:sz w:val="28"/>
          <w:szCs w:val="28"/>
        </w:rPr>
        <w:t>Partecipanti:</w:t>
      </w:r>
    </w:p>
    <w:p w14:paraId="304D4A23" w14:textId="2AE01C07" w:rsidR="003019DD" w:rsidRDefault="00F90702">
      <w:pPr>
        <w:spacing w:after="160" w:line="259" w:lineRule="auto"/>
        <w:jc w:val="both"/>
      </w:pPr>
      <w:r>
        <w:rPr>
          <w:rFonts w:asciiTheme="minorHAnsi" w:eastAsiaTheme="minorHAnsi" w:hAnsiTheme="minorHAnsi" w:cstheme="minorBidi"/>
          <w:lang w:eastAsia="en-US"/>
        </w:rPr>
        <w:t xml:space="preserve">Il seminario è stato organizzato da Regione Piemonte e CSI Piemonte. Hanno presenziato 7 partecipanti rappresentanti di Collegi e Ordini Professionali, </w:t>
      </w:r>
      <w:r w:rsidR="00984227">
        <w:rPr>
          <w:rFonts w:asciiTheme="minorHAnsi" w:eastAsiaTheme="minorHAnsi" w:hAnsiTheme="minorHAnsi" w:cstheme="minorBidi"/>
          <w:lang w:eastAsia="en-US"/>
        </w:rPr>
        <w:t xml:space="preserve">UNCEM, </w:t>
      </w:r>
      <w:r>
        <w:rPr>
          <w:rFonts w:asciiTheme="minorHAnsi" w:eastAsiaTheme="minorHAnsi" w:hAnsiTheme="minorHAnsi" w:cstheme="minorBidi"/>
          <w:lang w:eastAsia="en-US"/>
        </w:rPr>
        <w:t>ANCI Piemonte, ANPCI</w:t>
      </w:r>
      <w:r w:rsidR="00984227">
        <w:rPr>
          <w:rFonts w:asciiTheme="minorHAnsi" w:eastAsiaTheme="minorHAnsi" w:hAnsiTheme="minorHAnsi" w:cstheme="minorBidi"/>
          <w:lang w:eastAsia="en-US"/>
        </w:rPr>
        <w:t>:</w:t>
      </w:r>
    </w:p>
    <w:p w14:paraId="10FF4FBC" w14:textId="24CF98C4" w:rsidR="00031D7D" w:rsidRPr="006B6233" w:rsidRDefault="00031D7D" w:rsidP="00031D7D">
      <w:pPr>
        <w:spacing w:before="100" w:beforeAutospacing="1" w:after="100" w:afterAutospacing="1"/>
        <w:rPr>
          <w:rFonts w:asciiTheme="minorHAnsi" w:eastAsiaTheme="minorHAnsi" w:hAnsiTheme="minorHAnsi" w:cstheme="minorBidi"/>
          <w:lang w:eastAsia="en-US"/>
        </w:rPr>
      </w:pPr>
      <w:r w:rsidRPr="006B6233">
        <w:rPr>
          <w:rFonts w:asciiTheme="minorHAnsi" w:eastAsiaTheme="minorHAnsi" w:hAnsiTheme="minorHAnsi" w:cstheme="minorBidi"/>
          <w:lang w:eastAsia="en-US"/>
        </w:rPr>
        <w:t>ANCI</w:t>
      </w:r>
      <w:r w:rsidR="006B6233" w:rsidRPr="006B6233">
        <w:rPr>
          <w:rFonts w:asciiTheme="minorHAnsi" w:eastAsiaTheme="minorHAnsi" w:hAnsiTheme="minorHAnsi" w:cstheme="minorBidi"/>
          <w:lang w:eastAsia="en-US"/>
        </w:rPr>
        <w:t>: Valter Martino </w:t>
      </w:r>
    </w:p>
    <w:p w14:paraId="4C099318" w14:textId="77777777" w:rsidR="006B6233" w:rsidRPr="006B6233" w:rsidRDefault="006B6233" w:rsidP="006B6233">
      <w:pPr>
        <w:spacing w:before="100" w:beforeAutospacing="1" w:after="100" w:afterAutospacing="1"/>
        <w:rPr>
          <w:rFonts w:asciiTheme="minorHAnsi" w:eastAsiaTheme="minorHAnsi" w:hAnsiTheme="minorHAnsi" w:cstheme="minorBidi"/>
          <w:lang w:eastAsia="en-US"/>
        </w:rPr>
      </w:pPr>
      <w:r w:rsidRPr="006B6233">
        <w:rPr>
          <w:rFonts w:asciiTheme="minorHAnsi" w:eastAsiaTheme="minorHAnsi" w:hAnsiTheme="minorHAnsi" w:cstheme="minorBidi"/>
          <w:lang w:eastAsia="en-US"/>
        </w:rPr>
        <w:t>ANPCI: Carlo Cane  </w:t>
      </w:r>
    </w:p>
    <w:p w14:paraId="56409005" w14:textId="77777777" w:rsidR="006B6233" w:rsidRPr="006B6233" w:rsidRDefault="006B6233" w:rsidP="006B6233">
      <w:pPr>
        <w:spacing w:before="100" w:beforeAutospacing="1" w:after="100" w:afterAutospacing="1"/>
        <w:rPr>
          <w:rFonts w:asciiTheme="minorHAnsi" w:eastAsiaTheme="minorHAnsi" w:hAnsiTheme="minorHAnsi" w:cstheme="minorBidi"/>
          <w:lang w:eastAsia="en-US"/>
        </w:rPr>
      </w:pPr>
      <w:r w:rsidRPr="006B6233">
        <w:rPr>
          <w:rFonts w:asciiTheme="minorHAnsi" w:eastAsiaTheme="minorHAnsi" w:hAnsiTheme="minorHAnsi" w:cstheme="minorBidi"/>
          <w:lang w:eastAsia="en-US"/>
        </w:rPr>
        <w:t>Collegio dei Geometri: Roberto Palma </w:t>
      </w:r>
    </w:p>
    <w:p w14:paraId="4A2EDCC7" w14:textId="30640390" w:rsidR="006B6233" w:rsidRPr="006B6233" w:rsidRDefault="006B6233" w:rsidP="006B6233">
      <w:pPr>
        <w:spacing w:before="100" w:beforeAutospacing="1" w:after="100" w:afterAutospacing="1"/>
        <w:rPr>
          <w:rFonts w:asciiTheme="minorHAnsi" w:eastAsiaTheme="minorHAnsi" w:hAnsiTheme="minorHAnsi" w:cstheme="minorBidi"/>
          <w:lang w:eastAsia="en-US"/>
        </w:rPr>
      </w:pPr>
      <w:r w:rsidRPr="006B6233">
        <w:rPr>
          <w:rFonts w:asciiTheme="minorHAnsi" w:eastAsiaTheme="minorHAnsi" w:hAnsiTheme="minorHAnsi" w:cstheme="minorBidi"/>
          <w:lang w:eastAsia="en-US"/>
        </w:rPr>
        <w:t>Ordine degli Architetti, Pianificatori Paesaggisti e Conservatori : Claudio Eba, Raffaele Fusco</w:t>
      </w:r>
    </w:p>
    <w:p w14:paraId="485458EA" w14:textId="2F95B1F4" w:rsidR="006B6233" w:rsidRPr="006B6233" w:rsidRDefault="00C0030E" w:rsidP="006B6233">
      <w:pPr>
        <w:rPr>
          <w:rFonts w:asciiTheme="minorHAnsi" w:eastAsiaTheme="minorHAnsi" w:hAnsiTheme="minorHAnsi" w:cstheme="minorBidi"/>
          <w:lang w:eastAsia="en-US"/>
        </w:rPr>
      </w:pPr>
      <w:hyperlink r:id="rId7" w:history="1">
        <w:r w:rsidR="006B6233" w:rsidRPr="006B6233">
          <w:rPr>
            <w:rFonts w:asciiTheme="minorHAnsi" w:eastAsiaTheme="minorHAnsi" w:hAnsiTheme="minorHAnsi" w:cstheme="minorBidi"/>
            <w:lang w:eastAsia="en-US"/>
          </w:rPr>
          <w:t>Ordine Ingegneri</w:t>
        </w:r>
      </w:hyperlink>
      <w:r w:rsidR="006B6233" w:rsidRPr="006B6233">
        <w:rPr>
          <w:rFonts w:asciiTheme="minorHAnsi" w:eastAsiaTheme="minorHAnsi" w:hAnsiTheme="minorHAnsi" w:cstheme="minorBidi"/>
          <w:lang w:eastAsia="en-US"/>
        </w:rPr>
        <w:t>: Marco Francescon </w:t>
      </w:r>
    </w:p>
    <w:p w14:paraId="0AD22646" w14:textId="07E97831" w:rsidR="00031D7D" w:rsidRDefault="006B6233" w:rsidP="006B6233">
      <w:pPr>
        <w:spacing w:before="100" w:beforeAutospacing="1" w:after="100" w:afterAutospacing="1"/>
        <w:rPr>
          <w:rFonts w:asciiTheme="minorHAnsi" w:eastAsiaTheme="minorHAnsi" w:hAnsiTheme="minorHAnsi" w:cstheme="minorBidi"/>
          <w:highlight w:val="yellow"/>
        </w:rPr>
      </w:pPr>
      <w:r w:rsidRPr="00031D7D">
        <w:t>UNCEM</w:t>
      </w:r>
      <w:r>
        <w:t xml:space="preserve">: </w:t>
      </w:r>
      <w:r w:rsidRPr="006B6233">
        <w:rPr>
          <w:rFonts w:asciiTheme="minorHAnsi" w:eastAsiaTheme="minorHAnsi" w:hAnsiTheme="minorHAnsi" w:cstheme="minorBidi"/>
          <w:lang w:eastAsia="en-US"/>
        </w:rPr>
        <w:t>Maurizio Giacoletto</w:t>
      </w:r>
    </w:p>
    <w:p w14:paraId="4FE40A4C" w14:textId="77777777" w:rsidR="003019DD" w:rsidRDefault="00F90702">
      <w:pPr>
        <w:pStyle w:val="Titolo1"/>
        <w:rPr>
          <w:rFonts w:ascii="Avenir Next" w:eastAsiaTheme="minorHAnsi" w:hAnsi="Avenir Next" w:cstheme="minorBidi"/>
          <w:kern w:val="0"/>
          <w:sz w:val="32"/>
          <w:szCs w:val="32"/>
          <w:lang w:eastAsia="en-US"/>
        </w:rPr>
      </w:pPr>
      <w:r>
        <w:rPr>
          <w:rFonts w:ascii="Avenir Next" w:eastAsiaTheme="minorHAnsi" w:hAnsi="Avenir Next" w:cstheme="minorBidi"/>
          <w:kern w:val="0"/>
          <w:sz w:val="32"/>
          <w:szCs w:val="32"/>
          <w:lang w:eastAsia="en-US"/>
        </w:rPr>
        <w:t>Introduzione</w:t>
      </w:r>
    </w:p>
    <w:p w14:paraId="7A6BD69B" w14:textId="77777777" w:rsidR="003019DD" w:rsidRDefault="00F90702">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Introduzione da parte di Jacopo Chiara (Regione Piemonte) che illustra gli obiettivi del workshop, realizzato in funzione della riprogettazione del MUDE Piemonte, al fine di raccogliere dai partecipanti le principali criticità che caratterizzano l’attuale piattaforma e tentare di superarle attraverso un approccio di progettazione condivisa.</w:t>
      </w:r>
    </w:p>
    <w:p w14:paraId="1614DFB6" w14:textId="77777777" w:rsidR="003019DD" w:rsidRDefault="003019DD">
      <w:pPr>
        <w:rPr>
          <w:rFonts w:ascii="Avenir Next" w:hAnsi="Avenir Next"/>
          <w:sz w:val="22"/>
          <w:szCs w:val="22"/>
        </w:rPr>
      </w:pPr>
    </w:p>
    <w:p w14:paraId="39D71612" w14:textId="77777777" w:rsidR="003019DD" w:rsidRDefault="00F90702">
      <w:pPr>
        <w:pStyle w:val="Titolo1"/>
        <w:rPr>
          <w:rFonts w:ascii="Avenir Next" w:eastAsiaTheme="minorHAnsi" w:hAnsi="Avenir Next" w:cstheme="minorBidi"/>
          <w:kern w:val="0"/>
          <w:sz w:val="32"/>
          <w:szCs w:val="32"/>
          <w:lang w:eastAsia="en-US"/>
        </w:rPr>
      </w:pPr>
      <w:r>
        <w:rPr>
          <w:rFonts w:ascii="Avenir Next" w:eastAsiaTheme="minorHAnsi" w:hAnsi="Avenir Next" w:cstheme="minorBidi"/>
          <w:kern w:val="0"/>
          <w:sz w:val="32"/>
          <w:szCs w:val="32"/>
          <w:lang w:eastAsia="en-US"/>
        </w:rPr>
        <w:t>Presentazione metodologia workshop</w:t>
      </w:r>
    </w:p>
    <w:p w14:paraId="0B7678EC"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La metodologia proposta per il workshop è descritta da Caterina Manolino (CSI Piemonte UX Team). </w:t>
      </w:r>
    </w:p>
    <w:p w14:paraId="1F596F83" w14:textId="77777777" w:rsidR="003019DD" w:rsidRDefault="003019DD">
      <w:pPr>
        <w:rPr>
          <w:rFonts w:ascii="Avenir Next" w:hAnsi="Avenir Next"/>
          <w:sz w:val="22"/>
          <w:szCs w:val="22"/>
        </w:rPr>
      </w:pPr>
    </w:p>
    <w:p w14:paraId="4517B840" w14:textId="77777777" w:rsidR="003019DD" w:rsidRDefault="00F90702">
      <w:pPr>
        <w:pStyle w:val="Titolo1"/>
        <w:rPr>
          <w:rFonts w:ascii="Avenir Next" w:eastAsiaTheme="minorHAnsi" w:hAnsi="Avenir Next" w:cstheme="minorBidi"/>
          <w:kern w:val="0"/>
          <w:sz w:val="32"/>
          <w:szCs w:val="32"/>
          <w:lang w:eastAsia="en-US"/>
        </w:rPr>
      </w:pPr>
      <w:r>
        <w:rPr>
          <w:rFonts w:ascii="Avenir Next" w:eastAsiaTheme="minorHAnsi" w:hAnsi="Avenir Next" w:cstheme="minorBidi"/>
          <w:kern w:val="0"/>
          <w:sz w:val="32"/>
          <w:szCs w:val="32"/>
          <w:lang w:eastAsia="en-US"/>
        </w:rPr>
        <w:t>Presentazione dell’iniziativa POR-FESR MUDE-ARAdA</w:t>
      </w:r>
    </w:p>
    <w:p w14:paraId="3A0449EA" w14:textId="77777777" w:rsidR="003019DD" w:rsidRDefault="00F90702">
      <w:pPr>
        <w:spacing w:after="160" w:line="259"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Silvana Griffa (CSI Piemonte – Area Edilizia e Commercio) illustra in termini generali l’iniziativa della misura «Semplificazione digitale dei servizi regionali per cittadini e imprese: dematerializzazione pratiche amministrative – Mude e ARAdA». La presentazione si sviluppa con l’illustrazione degli obiettivi della dematerializzazione dei procedimenti edilizi, con il completamento di quelli a competenza regionale e il coinvolgimento degli enti terzi, il tutto in un contesto di interoperabilità.</w:t>
      </w:r>
    </w:p>
    <w:p w14:paraId="5194679B" w14:textId="77777777" w:rsidR="003019DD" w:rsidRDefault="003019DD">
      <w:pPr>
        <w:jc w:val="both"/>
        <w:rPr>
          <w:rFonts w:ascii="Avenir Next" w:hAnsi="Avenir Next"/>
        </w:rPr>
      </w:pPr>
    </w:p>
    <w:p w14:paraId="466503AA" w14:textId="77777777" w:rsidR="003019DD" w:rsidRDefault="00F90702">
      <w:pPr>
        <w:pStyle w:val="Titolo1"/>
        <w:rPr>
          <w:rFonts w:ascii="Avenir Next" w:eastAsiaTheme="minorHAnsi" w:hAnsi="Avenir Next" w:cstheme="minorBidi"/>
          <w:b w:val="0"/>
          <w:bCs w:val="0"/>
          <w:kern w:val="0"/>
          <w:sz w:val="32"/>
          <w:szCs w:val="32"/>
          <w:lang w:eastAsia="en-US"/>
        </w:rPr>
      </w:pPr>
      <w:r>
        <w:rPr>
          <w:rFonts w:ascii="Avenir Next" w:eastAsiaTheme="minorHAnsi" w:hAnsi="Avenir Next" w:cstheme="minorBidi"/>
          <w:kern w:val="0"/>
          <w:sz w:val="32"/>
          <w:szCs w:val="32"/>
          <w:lang w:eastAsia="en-US"/>
        </w:rPr>
        <w:t xml:space="preserve">Strumento di condivisione con i partecipanti - MIRO </w:t>
      </w:r>
      <w:r>
        <w:rPr>
          <w:rFonts w:ascii="Avenir Next" w:eastAsiaTheme="minorHAnsi" w:hAnsi="Avenir Next" w:cstheme="minorBidi"/>
          <w:b w:val="0"/>
          <w:bCs w:val="0"/>
          <w:kern w:val="0"/>
          <w:sz w:val="32"/>
          <w:szCs w:val="32"/>
          <w:lang w:eastAsia="en-US"/>
        </w:rPr>
        <w:t>lavagna virtuale</w:t>
      </w:r>
    </w:p>
    <w:p w14:paraId="2C4A7623" w14:textId="77777777" w:rsidR="003019DD" w:rsidRDefault="00F90702">
      <w:r>
        <w:rPr>
          <w:noProof/>
        </w:rPr>
        <w:drawing>
          <wp:inline distT="0" distB="0" distL="0" distR="0" wp14:anchorId="101C0C20" wp14:editId="3DE49E4A">
            <wp:extent cx="6120765" cy="38220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a:xfrm>
                      <a:off x="0" y="0"/>
                      <a:ext cx="6120765" cy="3822065"/>
                    </a:xfrm>
                    <a:prstGeom prst="rect">
                      <a:avLst/>
                    </a:prstGeom>
                    <a:ln>
                      <a:solidFill>
                        <a:schemeClr val="tx1">
                          <a:lumMod val="65000"/>
                          <a:lumOff val="35000"/>
                        </a:schemeClr>
                      </a:solidFill>
                    </a:ln>
                    <a:effectLst>
                      <a:outerShdw blurRad="50800" dist="38100" dir="2700000" algn="tl" rotWithShape="0">
                        <a:srgbClr val="000000">
                          <a:alpha val="40000"/>
                        </a:srgbClr>
                      </a:outerShdw>
                    </a:effectLst>
                  </pic:spPr>
                </pic:pic>
              </a:graphicData>
            </a:graphic>
          </wp:inline>
        </w:drawing>
      </w:r>
    </w:p>
    <w:p w14:paraId="3FA2ED57" w14:textId="77777777" w:rsidR="003019DD" w:rsidRDefault="003019DD">
      <w:pPr>
        <w:jc w:val="both"/>
        <w:rPr>
          <w:rFonts w:ascii="Avenir Next" w:hAnsi="Avenir Next"/>
          <w:highlight w:val="yellow"/>
        </w:rPr>
      </w:pPr>
    </w:p>
    <w:p w14:paraId="5AEC17D0" w14:textId="41004D67" w:rsidR="003019DD" w:rsidRPr="00C029E8" w:rsidRDefault="00C029E8" w:rsidP="00C029E8">
      <w:pPr>
        <w:jc w:val="center"/>
        <w:rPr>
          <w:rFonts w:asciiTheme="minorHAnsi" w:eastAsiaTheme="minorHAnsi" w:hAnsiTheme="minorHAnsi" w:cstheme="minorBidi"/>
          <w:sz w:val="20"/>
          <w:szCs w:val="20"/>
          <w:lang w:eastAsia="en-US"/>
        </w:rPr>
      </w:pPr>
      <w:r w:rsidRPr="00C029E8">
        <w:rPr>
          <w:rFonts w:asciiTheme="minorHAnsi" w:eastAsiaTheme="minorHAnsi" w:hAnsiTheme="minorHAnsi" w:cstheme="minorBidi"/>
          <w:sz w:val="20"/>
          <w:szCs w:val="20"/>
          <w:lang w:eastAsia="en-US"/>
        </w:rPr>
        <w:t>Esempio di bacheca virtuale</w:t>
      </w:r>
    </w:p>
    <w:p w14:paraId="2E5A736F" w14:textId="77777777" w:rsidR="003019DD" w:rsidRDefault="003019DD">
      <w:pPr>
        <w:jc w:val="both"/>
        <w:rPr>
          <w:rFonts w:asciiTheme="minorHAnsi" w:eastAsiaTheme="minorHAnsi" w:hAnsiTheme="minorHAnsi" w:cstheme="minorBidi"/>
          <w:lang w:eastAsia="en-US"/>
        </w:rPr>
      </w:pPr>
    </w:p>
    <w:p w14:paraId="5F0B403D"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Il laboratorio si è avvalso delle funzionalità dell’ambiente “Miro – lavagna virtuale” con la gestione dell’interazione fra gli utenti condotta dall’UX Team e supportata dal gruppo di progettazione MUDE Open.</w:t>
      </w:r>
    </w:p>
    <w:p w14:paraId="4DAC58F9"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 partecipanti, attraverso l’intensa interazione, hanno mostrato di gradire la metodologia utilizzata, così come l’opportunità di esprimere efficacemente le criticità rilevate nell’utilizzo del MUDE, non solo applicative ma anche di carattere organizzativo.</w:t>
      </w:r>
    </w:p>
    <w:p w14:paraId="67DE291D" w14:textId="77777777" w:rsidR="003019DD" w:rsidRDefault="00F90702">
      <w:pPr>
        <w:pStyle w:val="Titolo1"/>
        <w:rPr>
          <w:rFonts w:ascii="Avenir Next" w:eastAsiaTheme="minorHAnsi" w:hAnsi="Avenir Next" w:cstheme="minorBidi"/>
          <w:kern w:val="0"/>
          <w:sz w:val="32"/>
          <w:szCs w:val="32"/>
          <w:lang w:eastAsia="en-US"/>
        </w:rPr>
      </w:pPr>
      <w:r>
        <w:rPr>
          <w:rFonts w:ascii="Avenir Next" w:eastAsiaTheme="minorHAnsi" w:hAnsi="Avenir Next" w:cstheme="minorBidi"/>
          <w:kern w:val="0"/>
          <w:sz w:val="32"/>
          <w:szCs w:val="32"/>
          <w:lang w:eastAsia="en-US"/>
        </w:rPr>
        <w:t>Principali problematiche riscontrate nel MUDE attuale</w:t>
      </w:r>
    </w:p>
    <w:p w14:paraId="50DC2383"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Ai partecipanti, utilizzatori del MUDE, è stato richiesto di esplicitare con l’uso dei post-it le principali criticità dell’attuale MUDE; ad ogni partecipante è stata data la possibilità di esprimere tre criticità, in forma più o meno dettagliata, con la possibilità di effettuare commenti per meglio chiarire il contesto.</w:t>
      </w:r>
    </w:p>
    <w:p w14:paraId="284B3A99"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t>Ai partecipanti è stato quindi chiesto di esprimere delle preferenze di voto, con l’apposizione di etichette in adiacenza ai post-it, al fine di individuare il grado di rilevanza che i partecipanti indicavano per i temi sollevati. Ogni partecipante aveva a disposizione tre voti.</w:t>
      </w:r>
    </w:p>
    <w:p w14:paraId="6913C989" w14:textId="77777777" w:rsidR="003019DD" w:rsidRDefault="003019DD">
      <w:pPr>
        <w:jc w:val="both"/>
        <w:rPr>
          <w:rFonts w:asciiTheme="minorHAnsi" w:eastAsiaTheme="minorHAnsi" w:hAnsiTheme="minorHAnsi" w:cstheme="minorBidi"/>
          <w:lang w:eastAsia="en-US"/>
        </w:rPr>
      </w:pPr>
    </w:p>
    <w:p w14:paraId="37277153" w14:textId="77777777" w:rsidR="003019DD" w:rsidRDefault="00F90702">
      <w:pPr>
        <w:jc w:val="both"/>
        <w:rPr>
          <w:rFonts w:asciiTheme="minorHAnsi" w:eastAsiaTheme="minorHAnsi" w:hAnsiTheme="minorHAnsi" w:cstheme="minorBidi"/>
          <w:lang w:eastAsia="en-US"/>
        </w:rPr>
      </w:pPr>
      <w:r>
        <w:rPr>
          <w:rFonts w:asciiTheme="minorHAnsi" w:eastAsiaTheme="minorHAnsi" w:hAnsiTheme="minorHAnsi" w:cstheme="minorBidi"/>
          <w:lang w:eastAsia="en-US"/>
        </w:rPr>
        <w:t>Le problematiche rilevate sono state dunque classificate in relazione al punteggio, rispettivamente problemi con tre, due, uno o nessun voto.</w:t>
      </w:r>
    </w:p>
    <w:p w14:paraId="7F334DD9" w14:textId="77777777" w:rsidR="003019DD" w:rsidRDefault="00F90702">
      <w:pPr>
        <w:pStyle w:val="Titolo1"/>
        <w:jc w:val="both"/>
        <w:rPr>
          <w:rFonts w:ascii="Avenir Next" w:eastAsiaTheme="minorHAnsi" w:hAnsi="Avenir Next" w:cstheme="minorBidi"/>
          <w:b w:val="0"/>
          <w:bCs w:val="0"/>
          <w:kern w:val="0"/>
          <w:sz w:val="24"/>
          <w:szCs w:val="24"/>
          <w:lang w:eastAsia="en-US"/>
        </w:rPr>
      </w:pPr>
      <w:r>
        <w:rPr>
          <w:rFonts w:ascii="Avenir Next" w:eastAsiaTheme="minorHAnsi" w:hAnsi="Avenir Next" w:cstheme="minorBidi"/>
          <w:b w:val="0"/>
          <w:bCs w:val="0"/>
          <w:kern w:val="0"/>
          <w:sz w:val="24"/>
          <w:szCs w:val="24"/>
          <w:lang w:eastAsia="en-US"/>
        </w:rPr>
        <w:t>L’elenco risultante è riportato nella seguente tabella:</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740"/>
        <w:gridCol w:w="740"/>
        <w:gridCol w:w="8480"/>
      </w:tblGrid>
      <w:tr w:rsidR="003019DD" w14:paraId="275AC2FF" w14:textId="77777777">
        <w:trPr>
          <w:trHeight w:val="600"/>
        </w:trPr>
        <w:tc>
          <w:tcPr>
            <w:tcW w:w="740" w:type="dxa"/>
            <w:tcBorders>
              <w:top w:val="single" w:sz="4" w:space="0" w:color="000000"/>
              <w:left w:val="single" w:sz="4" w:space="0" w:color="000000"/>
              <w:bottom w:val="single" w:sz="4" w:space="0" w:color="000000"/>
              <w:right w:val="single" w:sz="4" w:space="0" w:color="000000"/>
            </w:tcBorders>
            <w:shd w:val="clear" w:color="000000" w:fill="FFF2CC"/>
            <w:vAlign w:val="center"/>
          </w:tcPr>
          <w:p w14:paraId="6E3E6FB8" w14:textId="77777777" w:rsidR="003019DD" w:rsidRDefault="00F90702">
            <w:pPr>
              <w:jc w:val="center"/>
              <w:rPr>
                <w:rFonts w:ascii="Avenir Next Regular" w:hAnsi="Avenir Next Regular" w:cs="Calibri"/>
                <w:b/>
                <w:bCs/>
                <w:i/>
                <w:iCs/>
                <w:color w:val="000000"/>
              </w:rPr>
            </w:pPr>
            <w:r>
              <w:rPr>
                <w:rFonts w:ascii="Avenir Next Regular" w:hAnsi="Avenir Next Regular" w:cs="Calibri"/>
                <w:b/>
                <w:bCs/>
                <w:i/>
                <w:iCs/>
                <w:color w:val="000000"/>
              </w:rPr>
              <w:t>Num.</w:t>
            </w:r>
          </w:p>
        </w:tc>
        <w:tc>
          <w:tcPr>
            <w:tcW w:w="740" w:type="dxa"/>
            <w:tcBorders>
              <w:top w:val="single" w:sz="4" w:space="0" w:color="000000"/>
              <w:bottom w:val="single" w:sz="4" w:space="0" w:color="000000"/>
              <w:right w:val="single" w:sz="4" w:space="0" w:color="000000"/>
            </w:tcBorders>
            <w:shd w:val="clear" w:color="000000" w:fill="FFF2CC"/>
            <w:vAlign w:val="center"/>
          </w:tcPr>
          <w:p w14:paraId="6C50E9A4" w14:textId="77777777" w:rsidR="003019DD" w:rsidRDefault="00F90702">
            <w:pPr>
              <w:jc w:val="center"/>
              <w:rPr>
                <w:rFonts w:ascii="Avenir Next Regular" w:hAnsi="Avenir Next Regular" w:cs="Calibri"/>
                <w:b/>
                <w:bCs/>
                <w:i/>
                <w:iCs/>
                <w:color w:val="000000"/>
              </w:rPr>
            </w:pPr>
            <w:r>
              <w:rPr>
                <w:rFonts w:ascii="Avenir Next Regular" w:hAnsi="Avenir Next Regular" w:cs="Calibri"/>
                <w:b/>
                <w:bCs/>
                <w:i/>
                <w:iCs/>
                <w:color w:val="000000"/>
              </w:rPr>
              <w:t>Punt.</w:t>
            </w:r>
          </w:p>
        </w:tc>
        <w:tc>
          <w:tcPr>
            <w:tcW w:w="8480" w:type="dxa"/>
            <w:tcBorders>
              <w:top w:val="single" w:sz="4" w:space="0" w:color="000000"/>
              <w:bottom w:val="single" w:sz="4" w:space="0" w:color="000000"/>
              <w:right w:val="single" w:sz="4" w:space="0" w:color="000000"/>
            </w:tcBorders>
            <w:shd w:val="clear" w:color="000000" w:fill="FFF2CC"/>
            <w:vAlign w:val="center"/>
          </w:tcPr>
          <w:p w14:paraId="772025E5" w14:textId="77777777" w:rsidR="003019DD" w:rsidRDefault="00F90702">
            <w:pPr>
              <w:jc w:val="center"/>
              <w:rPr>
                <w:rFonts w:ascii="Avenir Next Regular" w:hAnsi="Avenir Next Regular" w:cs="Calibri"/>
                <w:b/>
                <w:bCs/>
                <w:i/>
                <w:iCs/>
                <w:color w:val="000000"/>
              </w:rPr>
            </w:pPr>
            <w:r>
              <w:rPr>
                <w:rFonts w:ascii="Avenir Next Regular" w:hAnsi="Avenir Next Regular" w:cs="Calibri"/>
                <w:b/>
                <w:bCs/>
                <w:i/>
                <w:iCs/>
                <w:color w:val="000000"/>
              </w:rPr>
              <w:t>Problematiche</w:t>
            </w:r>
          </w:p>
        </w:tc>
      </w:tr>
      <w:tr w:rsidR="003019DD" w14:paraId="7516B14F"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5FF76D67"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740" w:type="dxa"/>
            <w:tcBorders>
              <w:bottom w:val="single" w:sz="4" w:space="0" w:color="000000"/>
              <w:right w:val="single" w:sz="4" w:space="0" w:color="000000"/>
            </w:tcBorders>
            <w:shd w:val="clear" w:color="auto" w:fill="auto"/>
            <w:vAlign w:val="center"/>
          </w:tcPr>
          <w:p w14:paraId="322CEE2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3</w:t>
            </w:r>
          </w:p>
        </w:tc>
        <w:tc>
          <w:tcPr>
            <w:tcW w:w="8480" w:type="dxa"/>
            <w:tcBorders>
              <w:bottom w:val="single" w:sz="4" w:space="0" w:color="000000"/>
              <w:right w:val="single" w:sz="4" w:space="0" w:color="000000"/>
            </w:tcBorders>
            <w:shd w:val="clear" w:color="auto" w:fill="auto"/>
          </w:tcPr>
          <w:p w14:paraId="00B9DB17" w14:textId="77777777" w:rsidR="003019DD" w:rsidRDefault="00F90702">
            <w:pPr>
              <w:rPr>
                <w:rFonts w:ascii="Avenir Next Regular" w:hAnsi="Avenir Next Regular" w:cs="Calibri"/>
                <w:color w:val="000000"/>
              </w:rPr>
            </w:pPr>
            <w:r>
              <w:rPr>
                <w:rFonts w:ascii="Avenir Next Regular" w:hAnsi="Avenir Next Regular" w:cs="Calibri"/>
                <w:color w:val="000000"/>
              </w:rPr>
              <w:t>Possibilità di copiare anagrafiche che sono comunque ridondanti rispetto alla reale identificazione dei soggetti ***</w:t>
            </w:r>
          </w:p>
        </w:tc>
      </w:tr>
      <w:tr w:rsidR="003019DD" w14:paraId="64DA4D4E" w14:textId="77777777">
        <w:trPr>
          <w:trHeight w:val="514"/>
        </w:trPr>
        <w:tc>
          <w:tcPr>
            <w:tcW w:w="740" w:type="dxa"/>
            <w:tcBorders>
              <w:left w:val="single" w:sz="4" w:space="0" w:color="000000"/>
              <w:bottom w:val="single" w:sz="4" w:space="0" w:color="000000"/>
              <w:right w:val="single" w:sz="4" w:space="0" w:color="000000"/>
            </w:tcBorders>
            <w:shd w:val="clear" w:color="auto" w:fill="auto"/>
            <w:vAlign w:val="center"/>
          </w:tcPr>
          <w:p w14:paraId="029D072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740" w:type="dxa"/>
            <w:tcBorders>
              <w:bottom w:val="single" w:sz="4" w:space="0" w:color="000000"/>
              <w:right w:val="single" w:sz="4" w:space="0" w:color="000000"/>
            </w:tcBorders>
            <w:shd w:val="clear" w:color="auto" w:fill="auto"/>
            <w:vAlign w:val="center"/>
          </w:tcPr>
          <w:p w14:paraId="5D2763DD"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3</w:t>
            </w:r>
          </w:p>
        </w:tc>
        <w:tc>
          <w:tcPr>
            <w:tcW w:w="8480" w:type="dxa"/>
            <w:tcBorders>
              <w:bottom w:val="single" w:sz="4" w:space="0" w:color="000000"/>
              <w:right w:val="single" w:sz="4" w:space="0" w:color="000000"/>
            </w:tcBorders>
            <w:shd w:val="clear" w:color="auto" w:fill="auto"/>
          </w:tcPr>
          <w:p w14:paraId="4B2EFE30" w14:textId="77777777" w:rsidR="003019DD" w:rsidRDefault="00F90702">
            <w:pPr>
              <w:rPr>
                <w:rFonts w:ascii="Avenir Next Regular" w:hAnsi="Avenir Next Regular" w:cs="Calibri"/>
                <w:color w:val="000000"/>
              </w:rPr>
            </w:pPr>
            <w:r>
              <w:rPr>
                <w:rFonts w:ascii="Avenir Next Regular" w:hAnsi="Avenir Next Regular" w:cs="Calibri"/>
                <w:color w:val="000000"/>
              </w:rPr>
              <w:t>No indicazione chiara degli errori bloccanti nell’invio della modulistica ***</w:t>
            </w:r>
          </w:p>
        </w:tc>
      </w:tr>
      <w:tr w:rsidR="003019DD" w14:paraId="6257A41B"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25D4895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3</w:t>
            </w:r>
          </w:p>
        </w:tc>
        <w:tc>
          <w:tcPr>
            <w:tcW w:w="740" w:type="dxa"/>
            <w:tcBorders>
              <w:bottom w:val="single" w:sz="4" w:space="0" w:color="000000"/>
              <w:right w:val="single" w:sz="4" w:space="0" w:color="000000"/>
            </w:tcBorders>
            <w:shd w:val="clear" w:color="auto" w:fill="auto"/>
            <w:vAlign w:val="center"/>
          </w:tcPr>
          <w:p w14:paraId="65A4DC6A"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3</w:t>
            </w:r>
          </w:p>
        </w:tc>
        <w:tc>
          <w:tcPr>
            <w:tcW w:w="8480" w:type="dxa"/>
            <w:tcBorders>
              <w:bottom w:val="single" w:sz="4" w:space="0" w:color="000000"/>
              <w:right w:val="single" w:sz="4" w:space="0" w:color="000000"/>
            </w:tcBorders>
            <w:shd w:val="clear" w:color="auto" w:fill="auto"/>
          </w:tcPr>
          <w:p w14:paraId="00A8AF3F" w14:textId="77777777" w:rsidR="003019DD" w:rsidRDefault="00F90702">
            <w:pPr>
              <w:rPr>
                <w:rFonts w:ascii="Avenir Next Regular" w:hAnsi="Avenir Next Regular" w:cs="Calibri"/>
                <w:color w:val="000000"/>
              </w:rPr>
            </w:pPr>
            <w:r>
              <w:rPr>
                <w:rFonts w:ascii="Avenir Next Regular" w:hAnsi="Avenir Next Regular" w:cs="Calibri"/>
                <w:color w:val="000000"/>
              </w:rPr>
              <w:t>Evitare la richiesta di documentazione non prevista dalla procedura Mude ***</w:t>
            </w:r>
          </w:p>
        </w:tc>
      </w:tr>
      <w:tr w:rsidR="003019DD" w14:paraId="47748010"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573F7DB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4</w:t>
            </w:r>
          </w:p>
        </w:tc>
        <w:tc>
          <w:tcPr>
            <w:tcW w:w="740" w:type="dxa"/>
            <w:tcBorders>
              <w:bottom w:val="single" w:sz="4" w:space="0" w:color="000000"/>
              <w:right w:val="single" w:sz="4" w:space="0" w:color="000000"/>
            </w:tcBorders>
            <w:shd w:val="clear" w:color="auto" w:fill="auto"/>
            <w:vAlign w:val="center"/>
          </w:tcPr>
          <w:p w14:paraId="39C5EB75"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8480" w:type="dxa"/>
            <w:tcBorders>
              <w:bottom w:val="single" w:sz="4" w:space="0" w:color="000000"/>
              <w:right w:val="single" w:sz="4" w:space="0" w:color="000000"/>
            </w:tcBorders>
            <w:shd w:val="clear" w:color="auto" w:fill="auto"/>
          </w:tcPr>
          <w:p w14:paraId="78E6C084" w14:textId="77777777" w:rsidR="003019DD" w:rsidRDefault="00F90702">
            <w:pPr>
              <w:rPr>
                <w:rFonts w:ascii="Avenir Next Regular" w:hAnsi="Avenir Next Regular" w:cs="Calibri"/>
                <w:color w:val="000000"/>
              </w:rPr>
            </w:pPr>
            <w:r>
              <w:rPr>
                <w:rFonts w:ascii="Avenir Next Regular" w:hAnsi="Avenir Next Regular" w:cs="Calibri"/>
                <w:color w:val="000000"/>
              </w:rPr>
              <w:t>Non gestisce archivi del professionista (imprese, committenti, etc) **</w:t>
            </w:r>
          </w:p>
        </w:tc>
      </w:tr>
      <w:tr w:rsidR="003019DD" w14:paraId="69B103B4"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5B61C63E"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5</w:t>
            </w:r>
          </w:p>
        </w:tc>
        <w:tc>
          <w:tcPr>
            <w:tcW w:w="740" w:type="dxa"/>
            <w:tcBorders>
              <w:bottom w:val="single" w:sz="4" w:space="0" w:color="000000"/>
              <w:right w:val="single" w:sz="4" w:space="0" w:color="000000"/>
            </w:tcBorders>
            <w:shd w:val="clear" w:color="auto" w:fill="auto"/>
            <w:vAlign w:val="center"/>
          </w:tcPr>
          <w:p w14:paraId="50FF2FF5"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8480" w:type="dxa"/>
            <w:tcBorders>
              <w:bottom w:val="single" w:sz="4" w:space="0" w:color="000000"/>
              <w:right w:val="single" w:sz="4" w:space="0" w:color="000000"/>
            </w:tcBorders>
            <w:shd w:val="clear" w:color="auto" w:fill="auto"/>
          </w:tcPr>
          <w:p w14:paraId="68DFB85F" w14:textId="77777777" w:rsidR="003019DD" w:rsidRDefault="00F90702">
            <w:pPr>
              <w:rPr>
                <w:rFonts w:ascii="Avenir Next Regular" w:hAnsi="Avenir Next Regular" w:cs="Calibri"/>
                <w:color w:val="000000"/>
              </w:rPr>
            </w:pPr>
            <w:r>
              <w:rPr>
                <w:rFonts w:ascii="Avenir Next Regular" w:hAnsi="Avenir Next Regular" w:cs="Calibri"/>
                <w:color w:val="000000"/>
              </w:rPr>
              <w:t>Necessità di entrare nella piattaforma con firma digitale **</w:t>
            </w:r>
          </w:p>
        </w:tc>
      </w:tr>
      <w:tr w:rsidR="003019DD" w14:paraId="62FCE056"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46E7FF8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6</w:t>
            </w:r>
          </w:p>
        </w:tc>
        <w:tc>
          <w:tcPr>
            <w:tcW w:w="740" w:type="dxa"/>
            <w:tcBorders>
              <w:bottom w:val="single" w:sz="4" w:space="0" w:color="000000"/>
              <w:right w:val="single" w:sz="4" w:space="0" w:color="000000"/>
            </w:tcBorders>
            <w:shd w:val="clear" w:color="auto" w:fill="auto"/>
            <w:vAlign w:val="center"/>
          </w:tcPr>
          <w:p w14:paraId="4D420660"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8480" w:type="dxa"/>
            <w:tcBorders>
              <w:bottom w:val="single" w:sz="4" w:space="0" w:color="000000"/>
              <w:right w:val="single" w:sz="4" w:space="0" w:color="000000"/>
            </w:tcBorders>
            <w:shd w:val="clear" w:color="auto" w:fill="auto"/>
          </w:tcPr>
          <w:p w14:paraId="78FB7D25" w14:textId="77777777" w:rsidR="003019DD" w:rsidRDefault="00F90702">
            <w:pPr>
              <w:rPr>
                <w:rFonts w:ascii="Avenir Next Regular" w:hAnsi="Avenir Next Regular" w:cs="Calibri"/>
                <w:color w:val="000000"/>
              </w:rPr>
            </w:pPr>
            <w:r>
              <w:rPr>
                <w:rFonts w:ascii="Avenir Next Regular" w:hAnsi="Avenir Next Regular" w:cs="Calibri"/>
                <w:color w:val="000000"/>
              </w:rPr>
              <w:t>Notifiche e gestione pratica nei rapporti PA-Professionista **</w:t>
            </w:r>
          </w:p>
        </w:tc>
      </w:tr>
      <w:tr w:rsidR="003019DD" w14:paraId="12226F69" w14:textId="77777777">
        <w:trPr>
          <w:trHeight w:val="1020"/>
        </w:trPr>
        <w:tc>
          <w:tcPr>
            <w:tcW w:w="740" w:type="dxa"/>
            <w:tcBorders>
              <w:left w:val="single" w:sz="4" w:space="0" w:color="000000"/>
              <w:bottom w:val="single" w:sz="4" w:space="0" w:color="000000"/>
              <w:right w:val="single" w:sz="4" w:space="0" w:color="000000"/>
            </w:tcBorders>
            <w:shd w:val="clear" w:color="auto" w:fill="auto"/>
            <w:vAlign w:val="center"/>
          </w:tcPr>
          <w:p w14:paraId="1A3732AA"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7</w:t>
            </w:r>
          </w:p>
        </w:tc>
        <w:tc>
          <w:tcPr>
            <w:tcW w:w="740" w:type="dxa"/>
            <w:tcBorders>
              <w:bottom w:val="single" w:sz="4" w:space="0" w:color="000000"/>
              <w:right w:val="single" w:sz="4" w:space="0" w:color="000000"/>
            </w:tcBorders>
            <w:shd w:val="clear" w:color="auto" w:fill="auto"/>
            <w:vAlign w:val="center"/>
          </w:tcPr>
          <w:p w14:paraId="529F5B0E"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8480" w:type="dxa"/>
            <w:tcBorders>
              <w:bottom w:val="single" w:sz="4" w:space="0" w:color="000000"/>
              <w:right w:val="single" w:sz="4" w:space="0" w:color="000000"/>
            </w:tcBorders>
            <w:shd w:val="clear" w:color="auto" w:fill="auto"/>
          </w:tcPr>
          <w:p w14:paraId="467503DF" w14:textId="77777777" w:rsidR="003019DD" w:rsidRDefault="00F90702">
            <w:pPr>
              <w:rPr>
                <w:rFonts w:ascii="Avenir Next Regular" w:hAnsi="Avenir Next Regular" w:cs="Calibri"/>
                <w:color w:val="000000"/>
              </w:rPr>
            </w:pPr>
            <w:r>
              <w:rPr>
                <w:rFonts w:ascii="Avenir Next Regular" w:hAnsi="Avenir Next Regular" w:cs="Calibri"/>
                <w:color w:val="000000"/>
              </w:rPr>
              <w:t>Non è l’unica piattaforma Front-end per il professionista, sussiste una proliferazione non gestita di alternative commerciali che complicano la reale utilizzazione di questi sistemi (SUE, SUAP) **</w:t>
            </w:r>
          </w:p>
        </w:tc>
      </w:tr>
      <w:tr w:rsidR="003019DD" w14:paraId="5B9194FB" w14:textId="77777777">
        <w:trPr>
          <w:trHeight w:val="440"/>
        </w:trPr>
        <w:tc>
          <w:tcPr>
            <w:tcW w:w="740" w:type="dxa"/>
            <w:tcBorders>
              <w:left w:val="single" w:sz="4" w:space="0" w:color="000000"/>
              <w:bottom w:val="single" w:sz="4" w:space="0" w:color="000000"/>
              <w:right w:val="single" w:sz="4" w:space="0" w:color="000000"/>
            </w:tcBorders>
            <w:shd w:val="clear" w:color="auto" w:fill="auto"/>
            <w:vAlign w:val="center"/>
          </w:tcPr>
          <w:p w14:paraId="4E18CA1D"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8</w:t>
            </w:r>
          </w:p>
        </w:tc>
        <w:tc>
          <w:tcPr>
            <w:tcW w:w="740" w:type="dxa"/>
            <w:tcBorders>
              <w:bottom w:val="single" w:sz="4" w:space="0" w:color="000000"/>
              <w:right w:val="single" w:sz="4" w:space="0" w:color="000000"/>
            </w:tcBorders>
            <w:shd w:val="clear" w:color="auto" w:fill="auto"/>
            <w:vAlign w:val="center"/>
          </w:tcPr>
          <w:p w14:paraId="280E928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tcPr>
          <w:p w14:paraId="52171BC7" w14:textId="77777777" w:rsidR="003019DD" w:rsidRDefault="00F90702">
            <w:pPr>
              <w:rPr>
                <w:rFonts w:ascii="Avenir Next Regular" w:hAnsi="Avenir Next Regular" w:cs="Calibri"/>
                <w:color w:val="000000"/>
              </w:rPr>
            </w:pPr>
            <w:r>
              <w:rPr>
                <w:rFonts w:ascii="Avenir Next Regular" w:hAnsi="Avenir Next Regular" w:cs="Calibri"/>
                <w:color w:val="000000"/>
              </w:rPr>
              <w:t>Utilizza pdf compilabili in luogo della compilazione diretta in pagina web *</w:t>
            </w:r>
          </w:p>
        </w:tc>
      </w:tr>
      <w:tr w:rsidR="003019DD" w14:paraId="7EAC817F" w14:textId="77777777">
        <w:trPr>
          <w:trHeight w:val="1080"/>
        </w:trPr>
        <w:tc>
          <w:tcPr>
            <w:tcW w:w="740" w:type="dxa"/>
            <w:tcBorders>
              <w:left w:val="single" w:sz="4" w:space="0" w:color="000000"/>
              <w:bottom w:val="single" w:sz="4" w:space="0" w:color="000000"/>
              <w:right w:val="single" w:sz="4" w:space="0" w:color="000000"/>
            </w:tcBorders>
            <w:shd w:val="clear" w:color="auto" w:fill="auto"/>
            <w:vAlign w:val="center"/>
          </w:tcPr>
          <w:p w14:paraId="7B0D4C67"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9</w:t>
            </w:r>
          </w:p>
        </w:tc>
        <w:tc>
          <w:tcPr>
            <w:tcW w:w="740" w:type="dxa"/>
            <w:tcBorders>
              <w:bottom w:val="single" w:sz="4" w:space="0" w:color="000000"/>
              <w:right w:val="single" w:sz="4" w:space="0" w:color="000000"/>
            </w:tcBorders>
            <w:shd w:val="clear" w:color="auto" w:fill="auto"/>
            <w:vAlign w:val="center"/>
          </w:tcPr>
          <w:p w14:paraId="483908D9"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tcPr>
          <w:p w14:paraId="4F15495E" w14:textId="77777777" w:rsidR="003019DD" w:rsidRDefault="00F90702">
            <w:pPr>
              <w:rPr>
                <w:rFonts w:ascii="Avenir Next Regular" w:hAnsi="Avenir Next Regular" w:cs="Calibri"/>
                <w:color w:val="000000"/>
              </w:rPr>
            </w:pPr>
            <w:r>
              <w:rPr>
                <w:rFonts w:ascii="Avenir Next Regular" w:hAnsi="Avenir Next Regular" w:cs="Calibri"/>
                <w:color w:val="000000"/>
              </w:rPr>
              <w:t>Identificare i dati dei professionisti con il giusto numero di dati: nome e cognome, ordine di appartenenza, numero di iscrizione, codice fiscale, email e PEC *</w:t>
            </w:r>
          </w:p>
        </w:tc>
      </w:tr>
      <w:tr w:rsidR="003019DD" w14:paraId="058484C4"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3AF0E9F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10</w:t>
            </w:r>
          </w:p>
        </w:tc>
        <w:tc>
          <w:tcPr>
            <w:tcW w:w="740" w:type="dxa"/>
            <w:tcBorders>
              <w:bottom w:val="single" w:sz="4" w:space="0" w:color="000000"/>
              <w:right w:val="single" w:sz="4" w:space="0" w:color="000000"/>
            </w:tcBorders>
            <w:shd w:val="clear" w:color="auto" w:fill="auto"/>
            <w:vAlign w:val="center"/>
          </w:tcPr>
          <w:p w14:paraId="474D4455"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tcPr>
          <w:p w14:paraId="7A435E45" w14:textId="77777777" w:rsidR="003019DD" w:rsidRDefault="00F90702">
            <w:pPr>
              <w:rPr>
                <w:rFonts w:ascii="Avenir Next Regular" w:hAnsi="Avenir Next Regular" w:cs="Calibri"/>
                <w:color w:val="000000"/>
              </w:rPr>
            </w:pPr>
            <w:r>
              <w:rPr>
                <w:rFonts w:ascii="Avenir Next Regular" w:hAnsi="Avenir Next Regular" w:cs="Calibri"/>
                <w:color w:val="000000"/>
              </w:rPr>
              <w:t>Mancanza di banca dati dei clienti *</w:t>
            </w:r>
          </w:p>
        </w:tc>
      </w:tr>
      <w:tr w:rsidR="003019DD" w14:paraId="4D25C822" w14:textId="77777777">
        <w:trPr>
          <w:trHeight w:val="587"/>
        </w:trPr>
        <w:tc>
          <w:tcPr>
            <w:tcW w:w="740" w:type="dxa"/>
            <w:tcBorders>
              <w:left w:val="single" w:sz="4" w:space="0" w:color="000000"/>
              <w:bottom w:val="single" w:sz="4" w:space="0" w:color="000000"/>
              <w:right w:val="single" w:sz="4" w:space="0" w:color="000000"/>
            </w:tcBorders>
            <w:shd w:val="clear" w:color="auto" w:fill="auto"/>
            <w:vAlign w:val="center"/>
          </w:tcPr>
          <w:p w14:paraId="47E604E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11</w:t>
            </w:r>
          </w:p>
        </w:tc>
        <w:tc>
          <w:tcPr>
            <w:tcW w:w="740" w:type="dxa"/>
            <w:tcBorders>
              <w:bottom w:val="single" w:sz="4" w:space="0" w:color="000000"/>
              <w:right w:val="single" w:sz="4" w:space="0" w:color="000000"/>
            </w:tcBorders>
            <w:shd w:val="clear" w:color="auto" w:fill="auto"/>
            <w:vAlign w:val="center"/>
          </w:tcPr>
          <w:p w14:paraId="5E5615F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vAlign w:val="center"/>
          </w:tcPr>
          <w:p w14:paraId="2796541E" w14:textId="77777777" w:rsidR="003019DD" w:rsidRDefault="00F90702">
            <w:pPr>
              <w:rPr>
                <w:rFonts w:ascii="Avenir Next Regular" w:hAnsi="Avenir Next Regular" w:cs="Calibri"/>
                <w:color w:val="000000"/>
              </w:rPr>
            </w:pPr>
            <w:r>
              <w:rPr>
                <w:rFonts w:ascii="Avenir Next Regular" w:hAnsi="Avenir Next Regular" w:cs="Calibri"/>
                <w:color w:val="000000"/>
              </w:rPr>
              <w:t>Non interfacciato con altri sistemi *</w:t>
            </w:r>
          </w:p>
        </w:tc>
      </w:tr>
      <w:tr w:rsidR="003019DD" w14:paraId="67663586"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3D7B93E6"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12</w:t>
            </w:r>
          </w:p>
        </w:tc>
        <w:tc>
          <w:tcPr>
            <w:tcW w:w="740" w:type="dxa"/>
            <w:tcBorders>
              <w:bottom w:val="single" w:sz="4" w:space="0" w:color="000000"/>
              <w:right w:val="single" w:sz="4" w:space="0" w:color="000000"/>
            </w:tcBorders>
            <w:shd w:val="clear" w:color="auto" w:fill="auto"/>
            <w:vAlign w:val="center"/>
          </w:tcPr>
          <w:p w14:paraId="48E5A656"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tcPr>
          <w:p w14:paraId="2D2B0B88" w14:textId="77777777" w:rsidR="003019DD" w:rsidRDefault="00F90702">
            <w:pPr>
              <w:rPr>
                <w:rFonts w:ascii="Avenir Next Regular" w:hAnsi="Avenir Next Regular" w:cs="Calibri"/>
                <w:color w:val="000000"/>
              </w:rPr>
            </w:pPr>
            <w:r>
              <w:rPr>
                <w:rFonts w:ascii="Avenir Next Regular" w:hAnsi="Avenir Next Regular" w:cs="Calibri"/>
                <w:color w:val="000000"/>
              </w:rPr>
              <w:t>Duplicazione per Comuni senza MUDE *</w:t>
            </w:r>
          </w:p>
        </w:tc>
      </w:tr>
      <w:tr w:rsidR="003019DD" w14:paraId="5A0434E2"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57203CB4"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lastRenderedPageBreak/>
              <w:t>13</w:t>
            </w:r>
          </w:p>
        </w:tc>
        <w:tc>
          <w:tcPr>
            <w:tcW w:w="740" w:type="dxa"/>
            <w:tcBorders>
              <w:bottom w:val="single" w:sz="4" w:space="0" w:color="000000"/>
              <w:right w:val="single" w:sz="4" w:space="0" w:color="000000"/>
            </w:tcBorders>
            <w:shd w:val="clear" w:color="auto" w:fill="auto"/>
            <w:vAlign w:val="center"/>
          </w:tcPr>
          <w:p w14:paraId="0AC5BC3B"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480" w:type="dxa"/>
            <w:tcBorders>
              <w:bottom w:val="single" w:sz="4" w:space="0" w:color="000000"/>
              <w:right w:val="single" w:sz="4" w:space="0" w:color="000000"/>
            </w:tcBorders>
            <w:shd w:val="clear" w:color="auto" w:fill="auto"/>
          </w:tcPr>
          <w:p w14:paraId="5ED2DA0E" w14:textId="77777777" w:rsidR="003019DD" w:rsidRDefault="00F90702">
            <w:pPr>
              <w:rPr>
                <w:rFonts w:ascii="Avenir Next Regular" w:hAnsi="Avenir Next Regular" w:cs="Calibri"/>
                <w:color w:val="000000"/>
              </w:rPr>
            </w:pPr>
            <w:r>
              <w:rPr>
                <w:rFonts w:ascii="Avenir Next Regular" w:hAnsi="Avenir Next Regular" w:cs="Calibri"/>
                <w:color w:val="000000"/>
              </w:rPr>
              <w:t>Compilazione offline senza la possibilità di fare verifiche di convalida lungo il percorso *</w:t>
            </w:r>
          </w:p>
        </w:tc>
      </w:tr>
      <w:tr w:rsidR="003019DD" w14:paraId="188AC087"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6E6DAE3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14</w:t>
            </w:r>
          </w:p>
        </w:tc>
        <w:tc>
          <w:tcPr>
            <w:tcW w:w="740" w:type="dxa"/>
            <w:tcBorders>
              <w:bottom w:val="single" w:sz="4" w:space="0" w:color="000000"/>
              <w:right w:val="single" w:sz="4" w:space="0" w:color="000000"/>
            </w:tcBorders>
            <w:shd w:val="clear" w:color="auto" w:fill="auto"/>
            <w:vAlign w:val="center"/>
          </w:tcPr>
          <w:p w14:paraId="00C19EA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1EF0D792" w14:textId="77777777" w:rsidR="003019DD" w:rsidRDefault="00F90702">
            <w:pPr>
              <w:rPr>
                <w:rFonts w:ascii="Avenir Next Regular" w:hAnsi="Avenir Next Regular" w:cs="Calibri"/>
                <w:color w:val="000000"/>
              </w:rPr>
            </w:pPr>
            <w:r>
              <w:rPr>
                <w:rFonts w:ascii="Avenir Next Regular" w:hAnsi="Avenir Next Regular" w:cs="Calibri"/>
                <w:color w:val="000000"/>
              </w:rPr>
              <w:t>Integrazione con sistemi protocollo comunali tramite webservice dichiarati</w:t>
            </w:r>
          </w:p>
        </w:tc>
      </w:tr>
      <w:tr w:rsidR="003019DD" w14:paraId="238CC564"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1E08BAC6"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15</w:t>
            </w:r>
          </w:p>
        </w:tc>
        <w:tc>
          <w:tcPr>
            <w:tcW w:w="740" w:type="dxa"/>
            <w:tcBorders>
              <w:bottom w:val="single" w:sz="4" w:space="0" w:color="000000"/>
              <w:right w:val="single" w:sz="4" w:space="0" w:color="000000"/>
            </w:tcBorders>
            <w:shd w:val="clear" w:color="auto" w:fill="auto"/>
            <w:vAlign w:val="center"/>
          </w:tcPr>
          <w:p w14:paraId="4FF1F0D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0FB1656D" w14:textId="77777777" w:rsidR="003019DD" w:rsidRDefault="00F90702">
            <w:pPr>
              <w:rPr>
                <w:rFonts w:ascii="Avenir Next Regular" w:hAnsi="Avenir Next Regular" w:cs="Calibri"/>
                <w:color w:val="000000"/>
              </w:rPr>
            </w:pPr>
            <w:r>
              <w:rPr>
                <w:rFonts w:ascii="Avenir Next Regular" w:hAnsi="Avenir Next Regular" w:cs="Calibri"/>
                <w:color w:val="000000"/>
              </w:rPr>
              <w:t>La non presenza di istruzioni online sulle varie caselle</w:t>
            </w:r>
          </w:p>
        </w:tc>
      </w:tr>
      <w:tr w:rsidR="003019DD" w14:paraId="41D4E5EE"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6A7D490B"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16</w:t>
            </w:r>
          </w:p>
        </w:tc>
        <w:tc>
          <w:tcPr>
            <w:tcW w:w="740" w:type="dxa"/>
            <w:tcBorders>
              <w:bottom w:val="single" w:sz="4" w:space="0" w:color="000000"/>
              <w:right w:val="single" w:sz="4" w:space="0" w:color="000000"/>
            </w:tcBorders>
            <w:shd w:val="clear" w:color="auto" w:fill="auto"/>
            <w:vAlign w:val="center"/>
          </w:tcPr>
          <w:p w14:paraId="6368224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2CF80497" w14:textId="77777777" w:rsidR="003019DD" w:rsidRDefault="00F90702">
            <w:pPr>
              <w:rPr>
                <w:rFonts w:ascii="Avenir Next Regular" w:hAnsi="Avenir Next Regular" w:cs="Calibri"/>
                <w:color w:val="000000"/>
              </w:rPr>
            </w:pPr>
            <w:r>
              <w:rPr>
                <w:rFonts w:ascii="Avenir Next Regular" w:hAnsi="Avenir Next Regular" w:cs="Calibri"/>
                <w:color w:val="000000"/>
              </w:rPr>
              <w:t>Lunghezza, complessità e modulistica come quella cartacea</w:t>
            </w:r>
          </w:p>
        </w:tc>
      </w:tr>
      <w:tr w:rsidR="003019DD" w14:paraId="62F25DD8" w14:textId="77777777">
        <w:trPr>
          <w:trHeight w:val="1080"/>
        </w:trPr>
        <w:tc>
          <w:tcPr>
            <w:tcW w:w="740" w:type="dxa"/>
            <w:tcBorders>
              <w:left w:val="single" w:sz="4" w:space="0" w:color="000000"/>
              <w:bottom w:val="single" w:sz="4" w:space="0" w:color="000000"/>
              <w:right w:val="single" w:sz="4" w:space="0" w:color="000000"/>
            </w:tcBorders>
            <w:shd w:val="clear" w:color="auto" w:fill="auto"/>
            <w:vAlign w:val="center"/>
          </w:tcPr>
          <w:p w14:paraId="1F85A37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17</w:t>
            </w:r>
          </w:p>
        </w:tc>
        <w:tc>
          <w:tcPr>
            <w:tcW w:w="740" w:type="dxa"/>
            <w:tcBorders>
              <w:bottom w:val="single" w:sz="4" w:space="0" w:color="000000"/>
              <w:right w:val="single" w:sz="4" w:space="0" w:color="000000"/>
            </w:tcBorders>
            <w:shd w:val="clear" w:color="auto" w:fill="auto"/>
            <w:vAlign w:val="center"/>
          </w:tcPr>
          <w:p w14:paraId="64DCFB6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0CA64D5B" w14:textId="77777777" w:rsidR="003019DD" w:rsidRDefault="00F90702">
            <w:pPr>
              <w:rPr>
                <w:rFonts w:ascii="Avenir Next Regular" w:hAnsi="Avenir Next Regular" w:cs="Calibri"/>
                <w:color w:val="000000"/>
              </w:rPr>
            </w:pPr>
            <w:r>
              <w:rPr>
                <w:rFonts w:ascii="Avenir Next Regular" w:hAnsi="Avenir Next Regular" w:cs="Calibri"/>
                <w:color w:val="000000"/>
              </w:rPr>
              <w:t>La geolocalizzazione con l'individuazione dell'intervento con gli estremi catastali deve essere una possibilità e non un obbligo... spesso non rappresenta un sopporto ma un ostacolo</w:t>
            </w:r>
          </w:p>
        </w:tc>
      </w:tr>
      <w:tr w:rsidR="003019DD" w14:paraId="65C80C06" w14:textId="77777777">
        <w:trPr>
          <w:trHeight w:val="387"/>
        </w:trPr>
        <w:tc>
          <w:tcPr>
            <w:tcW w:w="740" w:type="dxa"/>
            <w:tcBorders>
              <w:left w:val="single" w:sz="4" w:space="0" w:color="000000"/>
              <w:bottom w:val="single" w:sz="4" w:space="0" w:color="000000"/>
              <w:right w:val="single" w:sz="4" w:space="0" w:color="000000"/>
            </w:tcBorders>
            <w:shd w:val="clear" w:color="auto" w:fill="auto"/>
            <w:vAlign w:val="center"/>
          </w:tcPr>
          <w:p w14:paraId="070713BE"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18</w:t>
            </w:r>
          </w:p>
        </w:tc>
        <w:tc>
          <w:tcPr>
            <w:tcW w:w="740" w:type="dxa"/>
            <w:tcBorders>
              <w:bottom w:val="single" w:sz="4" w:space="0" w:color="000000"/>
              <w:right w:val="single" w:sz="4" w:space="0" w:color="000000"/>
            </w:tcBorders>
            <w:shd w:val="clear" w:color="auto" w:fill="auto"/>
            <w:vAlign w:val="center"/>
          </w:tcPr>
          <w:p w14:paraId="358D258F"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02E6A802" w14:textId="77777777" w:rsidR="003019DD" w:rsidRDefault="00F90702">
            <w:pPr>
              <w:rPr>
                <w:rFonts w:ascii="Avenir Next Regular" w:hAnsi="Avenir Next Regular" w:cs="Calibri"/>
                <w:color w:val="000000"/>
              </w:rPr>
            </w:pPr>
            <w:r>
              <w:rPr>
                <w:rFonts w:ascii="Avenir Next Regular" w:hAnsi="Avenir Next Regular" w:cs="Calibri"/>
                <w:color w:val="000000"/>
              </w:rPr>
              <w:t>Integrazione con sovrintendenze varie</w:t>
            </w:r>
          </w:p>
        </w:tc>
      </w:tr>
      <w:tr w:rsidR="003019DD" w14:paraId="44EBD167"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46821DF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19</w:t>
            </w:r>
          </w:p>
        </w:tc>
        <w:tc>
          <w:tcPr>
            <w:tcW w:w="740" w:type="dxa"/>
            <w:tcBorders>
              <w:bottom w:val="single" w:sz="4" w:space="0" w:color="000000"/>
              <w:right w:val="single" w:sz="4" w:space="0" w:color="000000"/>
            </w:tcBorders>
            <w:shd w:val="clear" w:color="auto" w:fill="auto"/>
            <w:vAlign w:val="center"/>
          </w:tcPr>
          <w:p w14:paraId="08C4912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78007740" w14:textId="77777777" w:rsidR="003019DD" w:rsidRDefault="00F90702">
            <w:pPr>
              <w:rPr>
                <w:rFonts w:ascii="Avenir Next Regular" w:hAnsi="Avenir Next Regular" w:cs="Calibri"/>
                <w:color w:val="000000"/>
              </w:rPr>
            </w:pPr>
            <w:r>
              <w:rPr>
                <w:rFonts w:ascii="Avenir Next Regular" w:hAnsi="Avenir Next Regular" w:cs="Calibri"/>
                <w:color w:val="000000"/>
              </w:rPr>
              <w:t>Nelle piattaforme i comuni possono interagire con osservazioni ai vari disegni di legge?</w:t>
            </w:r>
          </w:p>
        </w:tc>
      </w:tr>
      <w:tr w:rsidR="003019DD" w14:paraId="55885470"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25CD3FB3"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20</w:t>
            </w:r>
          </w:p>
        </w:tc>
        <w:tc>
          <w:tcPr>
            <w:tcW w:w="740" w:type="dxa"/>
            <w:tcBorders>
              <w:bottom w:val="single" w:sz="4" w:space="0" w:color="000000"/>
              <w:right w:val="single" w:sz="4" w:space="0" w:color="000000"/>
            </w:tcBorders>
            <w:shd w:val="clear" w:color="auto" w:fill="auto"/>
            <w:vAlign w:val="center"/>
          </w:tcPr>
          <w:p w14:paraId="4E11835A"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10E8FEEC" w14:textId="77777777" w:rsidR="003019DD" w:rsidRDefault="00F90702">
            <w:pPr>
              <w:rPr>
                <w:rFonts w:ascii="Avenir Next Regular" w:hAnsi="Avenir Next Regular" w:cs="Calibri"/>
                <w:color w:val="000000"/>
              </w:rPr>
            </w:pPr>
            <w:r>
              <w:rPr>
                <w:rFonts w:ascii="Avenir Next Regular" w:hAnsi="Avenir Next Regular" w:cs="Calibri"/>
                <w:color w:val="000000"/>
              </w:rPr>
              <w:t>Non è integrata con tutte le PPAA</w:t>
            </w:r>
          </w:p>
        </w:tc>
      </w:tr>
      <w:tr w:rsidR="003019DD" w14:paraId="6C3B1B21"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6A1C291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21</w:t>
            </w:r>
          </w:p>
        </w:tc>
        <w:tc>
          <w:tcPr>
            <w:tcW w:w="740" w:type="dxa"/>
            <w:tcBorders>
              <w:bottom w:val="single" w:sz="4" w:space="0" w:color="000000"/>
              <w:right w:val="single" w:sz="4" w:space="0" w:color="000000"/>
            </w:tcBorders>
            <w:shd w:val="clear" w:color="auto" w:fill="auto"/>
            <w:vAlign w:val="center"/>
          </w:tcPr>
          <w:p w14:paraId="5560965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75738826" w14:textId="77777777" w:rsidR="003019DD" w:rsidRDefault="00F90702">
            <w:pPr>
              <w:rPr>
                <w:rFonts w:ascii="Avenir Next Regular" w:hAnsi="Avenir Next Regular" w:cs="Calibri"/>
                <w:color w:val="000000"/>
              </w:rPr>
            </w:pPr>
            <w:r>
              <w:rPr>
                <w:rFonts w:ascii="Avenir Next Regular" w:hAnsi="Avenir Next Regular" w:cs="Calibri"/>
                <w:color w:val="000000"/>
              </w:rPr>
              <w:t>Maggiore chiarezza nelle note di errore</w:t>
            </w:r>
          </w:p>
        </w:tc>
      </w:tr>
      <w:tr w:rsidR="003019DD" w14:paraId="0D97012A"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328CAE9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22</w:t>
            </w:r>
          </w:p>
        </w:tc>
        <w:tc>
          <w:tcPr>
            <w:tcW w:w="740" w:type="dxa"/>
            <w:tcBorders>
              <w:bottom w:val="single" w:sz="4" w:space="0" w:color="000000"/>
              <w:right w:val="single" w:sz="4" w:space="0" w:color="000000"/>
            </w:tcBorders>
            <w:shd w:val="clear" w:color="auto" w:fill="auto"/>
            <w:vAlign w:val="center"/>
          </w:tcPr>
          <w:p w14:paraId="5A13669E"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3554B455" w14:textId="77777777" w:rsidR="003019DD" w:rsidRDefault="00F90702">
            <w:pPr>
              <w:rPr>
                <w:rFonts w:ascii="Avenir Next Regular" w:hAnsi="Avenir Next Regular" w:cs="Calibri"/>
                <w:color w:val="000000"/>
              </w:rPr>
            </w:pPr>
            <w:r>
              <w:rPr>
                <w:rFonts w:ascii="Avenir Next Regular" w:hAnsi="Avenir Next Regular" w:cs="Calibri"/>
                <w:color w:val="000000"/>
              </w:rPr>
              <w:t>Interfacce non attualizzate</w:t>
            </w:r>
          </w:p>
        </w:tc>
      </w:tr>
      <w:tr w:rsidR="003019DD" w14:paraId="24824086" w14:textId="77777777">
        <w:trPr>
          <w:trHeight w:val="360"/>
        </w:trPr>
        <w:tc>
          <w:tcPr>
            <w:tcW w:w="740" w:type="dxa"/>
            <w:tcBorders>
              <w:left w:val="single" w:sz="4" w:space="0" w:color="000000"/>
              <w:bottom w:val="single" w:sz="4" w:space="0" w:color="000000"/>
              <w:right w:val="single" w:sz="4" w:space="0" w:color="000000"/>
            </w:tcBorders>
            <w:shd w:val="clear" w:color="auto" w:fill="auto"/>
            <w:vAlign w:val="center"/>
          </w:tcPr>
          <w:p w14:paraId="75146B64"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23</w:t>
            </w:r>
          </w:p>
        </w:tc>
        <w:tc>
          <w:tcPr>
            <w:tcW w:w="740" w:type="dxa"/>
            <w:tcBorders>
              <w:bottom w:val="single" w:sz="4" w:space="0" w:color="000000"/>
              <w:right w:val="single" w:sz="4" w:space="0" w:color="000000"/>
            </w:tcBorders>
            <w:shd w:val="clear" w:color="auto" w:fill="auto"/>
            <w:vAlign w:val="center"/>
          </w:tcPr>
          <w:p w14:paraId="2B68D1F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6F4AD2B4" w14:textId="77777777" w:rsidR="003019DD" w:rsidRDefault="00F90702">
            <w:pPr>
              <w:rPr>
                <w:rFonts w:ascii="Avenir Next Regular" w:hAnsi="Avenir Next Regular" w:cs="Calibri"/>
                <w:color w:val="000000"/>
              </w:rPr>
            </w:pPr>
            <w:r>
              <w:rPr>
                <w:rFonts w:ascii="Avenir Next Regular" w:hAnsi="Avenir Next Regular" w:cs="Calibri"/>
                <w:color w:val="000000"/>
              </w:rPr>
              <w:t>Compilazione off line e compatibilità</w:t>
            </w:r>
          </w:p>
        </w:tc>
      </w:tr>
      <w:tr w:rsidR="003019DD" w14:paraId="4DB5C811" w14:textId="77777777">
        <w:trPr>
          <w:trHeight w:val="1080"/>
        </w:trPr>
        <w:tc>
          <w:tcPr>
            <w:tcW w:w="740" w:type="dxa"/>
            <w:tcBorders>
              <w:left w:val="single" w:sz="4" w:space="0" w:color="000000"/>
              <w:bottom w:val="single" w:sz="4" w:space="0" w:color="000000"/>
              <w:right w:val="single" w:sz="4" w:space="0" w:color="000000"/>
            </w:tcBorders>
            <w:shd w:val="clear" w:color="auto" w:fill="auto"/>
            <w:vAlign w:val="center"/>
          </w:tcPr>
          <w:p w14:paraId="33F21558"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24</w:t>
            </w:r>
          </w:p>
        </w:tc>
        <w:tc>
          <w:tcPr>
            <w:tcW w:w="740" w:type="dxa"/>
            <w:tcBorders>
              <w:bottom w:val="single" w:sz="4" w:space="0" w:color="000000"/>
              <w:right w:val="single" w:sz="4" w:space="0" w:color="000000"/>
            </w:tcBorders>
            <w:shd w:val="clear" w:color="auto" w:fill="auto"/>
            <w:vAlign w:val="center"/>
          </w:tcPr>
          <w:p w14:paraId="6929A17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7D234909" w14:textId="77777777" w:rsidR="003019DD" w:rsidRDefault="00F90702">
            <w:pPr>
              <w:rPr>
                <w:rFonts w:ascii="Avenir Next Regular" w:hAnsi="Avenir Next Regular" w:cs="Calibri"/>
                <w:color w:val="000000"/>
              </w:rPr>
            </w:pPr>
            <w:r>
              <w:rPr>
                <w:rFonts w:ascii="Avenir Next Regular" w:hAnsi="Avenir Next Regular" w:cs="Calibri"/>
                <w:color w:val="000000"/>
              </w:rPr>
              <w:t>Quando compare una nota non si sa mai qual è l'interlocutore che la sta scrivendo (quando viene respinta la pratica) Io non so chi e se è un operatore MUDE.</w:t>
            </w:r>
          </w:p>
        </w:tc>
      </w:tr>
      <w:tr w:rsidR="003019DD" w14:paraId="64161327"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51C9204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25</w:t>
            </w:r>
          </w:p>
        </w:tc>
        <w:tc>
          <w:tcPr>
            <w:tcW w:w="740" w:type="dxa"/>
            <w:tcBorders>
              <w:bottom w:val="single" w:sz="4" w:space="0" w:color="000000"/>
              <w:right w:val="single" w:sz="4" w:space="0" w:color="000000"/>
            </w:tcBorders>
            <w:shd w:val="clear" w:color="auto" w:fill="auto"/>
            <w:vAlign w:val="center"/>
          </w:tcPr>
          <w:p w14:paraId="2BE8E192"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20226F57" w14:textId="77777777" w:rsidR="003019DD" w:rsidRDefault="00F90702">
            <w:pPr>
              <w:rPr>
                <w:rFonts w:ascii="Avenir Next Regular" w:hAnsi="Avenir Next Regular" w:cs="Calibri"/>
                <w:color w:val="000000"/>
              </w:rPr>
            </w:pPr>
            <w:r>
              <w:rPr>
                <w:rFonts w:ascii="Avenir Next Regular" w:hAnsi="Avenir Next Regular" w:cs="Calibri"/>
                <w:color w:val="000000"/>
              </w:rPr>
              <w:t>Alcuni comuni si inventano ulteriori procedure oltre a MUDE. Non sono i professionisti a doverlo precisare</w:t>
            </w:r>
          </w:p>
        </w:tc>
      </w:tr>
      <w:tr w:rsidR="003019DD" w14:paraId="4BB260F9" w14:textId="77777777">
        <w:trPr>
          <w:trHeight w:val="720"/>
        </w:trPr>
        <w:tc>
          <w:tcPr>
            <w:tcW w:w="740" w:type="dxa"/>
            <w:tcBorders>
              <w:left w:val="single" w:sz="4" w:space="0" w:color="000000"/>
              <w:bottom w:val="single" w:sz="4" w:space="0" w:color="000000"/>
              <w:right w:val="single" w:sz="4" w:space="0" w:color="000000"/>
            </w:tcBorders>
            <w:shd w:val="clear" w:color="auto" w:fill="auto"/>
            <w:vAlign w:val="center"/>
          </w:tcPr>
          <w:p w14:paraId="3DE9A200"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26</w:t>
            </w:r>
          </w:p>
        </w:tc>
        <w:tc>
          <w:tcPr>
            <w:tcW w:w="740" w:type="dxa"/>
            <w:tcBorders>
              <w:bottom w:val="single" w:sz="4" w:space="0" w:color="000000"/>
              <w:right w:val="single" w:sz="4" w:space="0" w:color="000000"/>
            </w:tcBorders>
            <w:shd w:val="clear" w:color="auto" w:fill="auto"/>
            <w:vAlign w:val="center"/>
          </w:tcPr>
          <w:p w14:paraId="46F8A3E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 </w:t>
            </w:r>
          </w:p>
        </w:tc>
        <w:tc>
          <w:tcPr>
            <w:tcW w:w="8480" w:type="dxa"/>
            <w:tcBorders>
              <w:bottom w:val="single" w:sz="4" w:space="0" w:color="000000"/>
              <w:right w:val="single" w:sz="4" w:space="0" w:color="000000"/>
            </w:tcBorders>
            <w:shd w:val="clear" w:color="auto" w:fill="auto"/>
          </w:tcPr>
          <w:p w14:paraId="4BB3CC53" w14:textId="77777777" w:rsidR="003019DD" w:rsidRDefault="00F90702">
            <w:pPr>
              <w:rPr>
                <w:rFonts w:ascii="Avenir Next Regular" w:hAnsi="Avenir Next Regular" w:cs="Calibri"/>
                <w:color w:val="000000"/>
              </w:rPr>
            </w:pPr>
            <w:r>
              <w:rPr>
                <w:rFonts w:ascii="Avenir Next Regular" w:hAnsi="Avenir Next Regular" w:cs="Calibri"/>
                <w:color w:val="000000"/>
              </w:rPr>
              <w:t>Ci sono comuni che chiedono la copia cartacea della pratica MUDE e questo mi raddoppia il lavoro</w:t>
            </w:r>
          </w:p>
        </w:tc>
      </w:tr>
      <w:tr w:rsidR="003019DD" w14:paraId="06AA6759" w14:textId="77777777">
        <w:trPr>
          <w:trHeight w:val="360"/>
        </w:trPr>
        <w:tc>
          <w:tcPr>
            <w:tcW w:w="740" w:type="dxa"/>
            <w:shd w:val="clear" w:color="auto" w:fill="auto"/>
            <w:vAlign w:val="bottom"/>
          </w:tcPr>
          <w:p w14:paraId="153EFB9D" w14:textId="77777777" w:rsidR="003019DD" w:rsidRDefault="003019DD">
            <w:pPr>
              <w:rPr>
                <w:rFonts w:ascii="Avenir Next Regular" w:hAnsi="Avenir Next Regular" w:cs="Calibri"/>
                <w:color w:val="000000"/>
              </w:rPr>
            </w:pPr>
          </w:p>
        </w:tc>
        <w:tc>
          <w:tcPr>
            <w:tcW w:w="740" w:type="dxa"/>
            <w:shd w:val="clear" w:color="auto" w:fill="auto"/>
            <w:vAlign w:val="center"/>
          </w:tcPr>
          <w:p w14:paraId="2C4770A1" w14:textId="77777777" w:rsidR="003019DD" w:rsidRDefault="003019DD"/>
        </w:tc>
        <w:tc>
          <w:tcPr>
            <w:tcW w:w="8480" w:type="dxa"/>
            <w:shd w:val="clear" w:color="auto" w:fill="auto"/>
          </w:tcPr>
          <w:p w14:paraId="4BB8ABFA" w14:textId="77777777" w:rsidR="003019DD" w:rsidRDefault="00F90702">
            <w:pPr>
              <w:rPr>
                <w:rFonts w:ascii="Avenir Next Regular" w:hAnsi="Avenir Next Regular" w:cs="Calibri"/>
                <w:color w:val="000000"/>
              </w:rPr>
            </w:pPr>
            <w:r>
              <w:rPr>
                <w:rFonts w:ascii="Avenir Next Regular" w:hAnsi="Avenir Next Regular" w:cs="Calibri"/>
                <w:color w:val="000000"/>
              </w:rPr>
              <w:t xml:space="preserve"> </w:t>
            </w:r>
          </w:p>
        </w:tc>
      </w:tr>
    </w:tbl>
    <w:p w14:paraId="1CAC6DD9" w14:textId="0A0BE778" w:rsidR="003019DD" w:rsidRDefault="00F90702">
      <w:pPr>
        <w:pStyle w:val="Titolo1"/>
      </w:pPr>
      <w:r>
        <w:rPr>
          <w:rFonts w:ascii="Avenir Next" w:eastAsiaTheme="minorHAnsi" w:hAnsi="Avenir Next" w:cstheme="minorBidi"/>
          <w:kern w:val="0"/>
          <w:sz w:val="32"/>
          <w:szCs w:val="32"/>
          <w:lang w:eastAsia="en-US"/>
        </w:rPr>
        <w:t>Idee e proposte per il nuovo MUDE Piemonte</w:t>
      </w:r>
    </w:p>
    <w:p w14:paraId="1DFEEE9B" w14:textId="77777777" w:rsidR="003019DD" w:rsidRDefault="00F90702">
      <w:pPr>
        <w:pStyle w:val="Titolo1"/>
        <w:jc w:val="both"/>
        <w:rPr>
          <w:rFonts w:ascii="Avenir Next" w:eastAsiaTheme="minorHAnsi" w:hAnsi="Avenir Next" w:cstheme="minorBidi"/>
          <w:b w:val="0"/>
          <w:bCs w:val="0"/>
          <w:kern w:val="0"/>
          <w:sz w:val="24"/>
          <w:szCs w:val="24"/>
          <w:lang w:eastAsia="en-US"/>
        </w:rPr>
      </w:pPr>
      <w:r>
        <w:rPr>
          <w:rFonts w:ascii="Avenir Next" w:eastAsiaTheme="minorHAnsi" w:hAnsi="Avenir Next" w:cstheme="minorBidi"/>
          <w:b w:val="0"/>
          <w:bCs w:val="0"/>
          <w:kern w:val="0"/>
          <w:sz w:val="24"/>
          <w:szCs w:val="24"/>
          <w:lang w:eastAsia="en-US"/>
        </w:rPr>
        <w:t>A seguito della fase di esplicitazione dei problemi rilevati i partecipanti sono stati invitati a formulare delle proposte per migliorare l’utilizzabilità dell’applicativo, inteso come ambiente di collaborazione finalizzato non solo all’abilitazione all’attività edilizia, ma anche alla realizzazione e mantenimento di banche dati di pubblico interesse, come è sempre stato negli obiettivi del MUDE.</w:t>
      </w:r>
    </w:p>
    <w:p w14:paraId="581482CE" w14:textId="77777777" w:rsidR="003019DD" w:rsidRDefault="00F90702">
      <w:pPr>
        <w:pStyle w:val="Titolo1"/>
        <w:jc w:val="both"/>
        <w:rPr>
          <w:rFonts w:ascii="Avenir Next" w:eastAsiaTheme="minorHAnsi" w:hAnsi="Avenir Next" w:cstheme="minorBidi"/>
          <w:b w:val="0"/>
          <w:bCs w:val="0"/>
          <w:kern w:val="0"/>
          <w:sz w:val="24"/>
          <w:szCs w:val="24"/>
          <w:lang w:eastAsia="en-US"/>
        </w:rPr>
      </w:pPr>
      <w:r>
        <w:rPr>
          <w:rFonts w:ascii="Avenir Next" w:eastAsiaTheme="minorHAnsi" w:hAnsi="Avenir Next" w:cstheme="minorBidi"/>
          <w:b w:val="0"/>
          <w:bCs w:val="0"/>
          <w:kern w:val="0"/>
          <w:sz w:val="24"/>
          <w:szCs w:val="24"/>
          <w:lang w:eastAsia="en-US"/>
        </w:rPr>
        <w:t>Le idee espresse, a diverso grado di approfondimento, sono state le seguenti:</w:t>
      </w:r>
    </w:p>
    <w:p w14:paraId="25EAF227" w14:textId="77777777" w:rsidR="003019DD" w:rsidRDefault="003019DD">
      <w:pPr>
        <w:pStyle w:val="Titolo1"/>
        <w:jc w:val="both"/>
        <w:rPr>
          <w:rFonts w:ascii="Avenir Next" w:eastAsiaTheme="minorHAnsi" w:hAnsi="Avenir Next" w:cstheme="minorBidi"/>
          <w:b w:val="0"/>
          <w:bCs w:val="0"/>
          <w:kern w:val="0"/>
          <w:sz w:val="24"/>
          <w:szCs w:val="24"/>
          <w:lang w:eastAsia="en-US"/>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819"/>
        <w:gridCol w:w="8301"/>
      </w:tblGrid>
      <w:tr w:rsidR="003019DD" w14:paraId="2ADBEF90" w14:textId="77777777">
        <w:trPr>
          <w:trHeight w:val="520"/>
        </w:trPr>
        <w:tc>
          <w:tcPr>
            <w:tcW w:w="819" w:type="dxa"/>
            <w:tcBorders>
              <w:top w:val="single" w:sz="4" w:space="0" w:color="000000"/>
              <w:left w:val="single" w:sz="4" w:space="0" w:color="000000"/>
              <w:bottom w:val="single" w:sz="4" w:space="0" w:color="000000"/>
              <w:right w:val="single" w:sz="4" w:space="0" w:color="000000"/>
            </w:tcBorders>
            <w:shd w:val="clear" w:color="000000" w:fill="FFF2CC"/>
            <w:vAlign w:val="center"/>
          </w:tcPr>
          <w:p w14:paraId="4158896D" w14:textId="77777777" w:rsidR="003019DD" w:rsidRDefault="00F90702">
            <w:pPr>
              <w:jc w:val="center"/>
              <w:rPr>
                <w:rFonts w:ascii="Avenir Next Regular" w:hAnsi="Avenir Next Regular" w:cs="Calibri"/>
                <w:b/>
                <w:bCs/>
                <w:i/>
                <w:iCs/>
                <w:color w:val="000000"/>
              </w:rPr>
            </w:pPr>
            <w:r>
              <w:rPr>
                <w:rFonts w:ascii="Avenir Next Regular" w:hAnsi="Avenir Next Regular" w:cs="Calibri"/>
                <w:b/>
                <w:bCs/>
                <w:i/>
                <w:iCs/>
                <w:color w:val="000000"/>
              </w:rPr>
              <w:t>Num.</w:t>
            </w:r>
          </w:p>
        </w:tc>
        <w:tc>
          <w:tcPr>
            <w:tcW w:w="8300" w:type="dxa"/>
            <w:tcBorders>
              <w:top w:val="single" w:sz="4" w:space="0" w:color="000000"/>
              <w:bottom w:val="single" w:sz="4" w:space="0" w:color="000000"/>
              <w:right w:val="single" w:sz="4" w:space="0" w:color="000000"/>
            </w:tcBorders>
            <w:shd w:val="clear" w:color="000000" w:fill="FFF2CC"/>
            <w:vAlign w:val="center"/>
          </w:tcPr>
          <w:p w14:paraId="7C9CEA78" w14:textId="77777777" w:rsidR="003019DD" w:rsidRDefault="00F90702">
            <w:pPr>
              <w:jc w:val="center"/>
              <w:rPr>
                <w:rFonts w:ascii="Avenir Next Regular" w:hAnsi="Avenir Next Regular" w:cs="Calibri"/>
                <w:b/>
                <w:bCs/>
                <w:i/>
                <w:iCs/>
                <w:color w:val="000000"/>
              </w:rPr>
            </w:pPr>
            <w:r>
              <w:rPr>
                <w:rFonts w:ascii="Avenir Next Regular" w:hAnsi="Avenir Next Regular" w:cs="Calibri"/>
                <w:b/>
                <w:bCs/>
                <w:i/>
                <w:iCs/>
                <w:color w:val="000000"/>
              </w:rPr>
              <w:t>Idee e proposte</w:t>
            </w:r>
          </w:p>
        </w:tc>
      </w:tr>
      <w:tr w:rsidR="003019DD" w14:paraId="458773F3" w14:textId="77777777">
        <w:trPr>
          <w:trHeight w:val="720"/>
        </w:trPr>
        <w:tc>
          <w:tcPr>
            <w:tcW w:w="819" w:type="dxa"/>
            <w:tcBorders>
              <w:left w:val="single" w:sz="4" w:space="0" w:color="000000"/>
              <w:bottom w:val="single" w:sz="4" w:space="0" w:color="000000"/>
              <w:right w:val="single" w:sz="4" w:space="0" w:color="000000"/>
            </w:tcBorders>
            <w:shd w:val="clear" w:color="auto" w:fill="auto"/>
            <w:vAlign w:val="center"/>
          </w:tcPr>
          <w:p w14:paraId="5282256D"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w:t>
            </w:r>
          </w:p>
        </w:tc>
        <w:tc>
          <w:tcPr>
            <w:tcW w:w="8300" w:type="dxa"/>
            <w:tcBorders>
              <w:bottom w:val="single" w:sz="4" w:space="0" w:color="000000"/>
              <w:right w:val="single" w:sz="4" w:space="0" w:color="000000"/>
            </w:tcBorders>
            <w:shd w:val="clear" w:color="auto" w:fill="auto"/>
            <w:vAlign w:val="center"/>
          </w:tcPr>
          <w:p w14:paraId="65E2B6B0" w14:textId="77777777" w:rsidR="003019DD" w:rsidRDefault="00F90702">
            <w:pPr>
              <w:rPr>
                <w:rFonts w:ascii="Avenir Next Regular" w:hAnsi="Avenir Next Regular" w:cs="Calibri"/>
                <w:color w:val="000000"/>
              </w:rPr>
            </w:pPr>
            <w:r>
              <w:rPr>
                <w:rFonts w:ascii="Avenir Next Regular" w:hAnsi="Avenir Next Regular" w:cs="Calibri"/>
                <w:color w:val="000000"/>
              </w:rPr>
              <w:t>Possibilità in fase di creazione di una nuova pratica di ricaricare una qualsiasi pratica già inviata.</w:t>
            </w:r>
          </w:p>
        </w:tc>
      </w:tr>
      <w:tr w:rsidR="003019DD" w14:paraId="738036CD" w14:textId="77777777">
        <w:trPr>
          <w:trHeight w:val="720"/>
        </w:trPr>
        <w:tc>
          <w:tcPr>
            <w:tcW w:w="819" w:type="dxa"/>
            <w:tcBorders>
              <w:left w:val="single" w:sz="4" w:space="0" w:color="000000"/>
              <w:bottom w:val="single" w:sz="4" w:space="0" w:color="000000"/>
              <w:right w:val="single" w:sz="4" w:space="0" w:color="000000"/>
            </w:tcBorders>
            <w:shd w:val="clear" w:color="auto" w:fill="auto"/>
            <w:vAlign w:val="center"/>
          </w:tcPr>
          <w:p w14:paraId="78780E56"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2</w:t>
            </w:r>
          </w:p>
        </w:tc>
        <w:tc>
          <w:tcPr>
            <w:tcW w:w="8300" w:type="dxa"/>
            <w:tcBorders>
              <w:bottom w:val="single" w:sz="4" w:space="0" w:color="000000"/>
              <w:right w:val="single" w:sz="4" w:space="0" w:color="000000"/>
            </w:tcBorders>
            <w:shd w:val="clear" w:color="auto" w:fill="auto"/>
            <w:vAlign w:val="center"/>
          </w:tcPr>
          <w:p w14:paraId="30CAEA03" w14:textId="77777777" w:rsidR="003019DD" w:rsidRDefault="00F90702">
            <w:pPr>
              <w:rPr>
                <w:rFonts w:ascii="Avenir Next Regular" w:hAnsi="Avenir Next Regular" w:cs="Calibri"/>
                <w:color w:val="000000"/>
              </w:rPr>
            </w:pPr>
            <w:r>
              <w:rPr>
                <w:rFonts w:ascii="Avenir Next Regular" w:hAnsi="Avenir Next Regular" w:cs="Calibri"/>
                <w:color w:val="000000"/>
              </w:rPr>
              <w:t>Possibilità di interagire con archivi digitali dei comuni.</w:t>
            </w:r>
          </w:p>
        </w:tc>
      </w:tr>
      <w:tr w:rsidR="003019DD" w14:paraId="6585D4F5" w14:textId="77777777">
        <w:trPr>
          <w:trHeight w:val="1440"/>
        </w:trPr>
        <w:tc>
          <w:tcPr>
            <w:tcW w:w="819" w:type="dxa"/>
            <w:tcBorders>
              <w:left w:val="single" w:sz="4" w:space="0" w:color="000000"/>
              <w:bottom w:val="single" w:sz="4" w:space="0" w:color="000000"/>
              <w:right w:val="single" w:sz="4" w:space="0" w:color="000000"/>
            </w:tcBorders>
            <w:shd w:val="clear" w:color="auto" w:fill="auto"/>
            <w:vAlign w:val="center"/>
          </w:tcPr>
          <w:p w14:paraId="18C33BC7"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3</w:t>
            </w:r>
          </w:p>
        </w:tc>
        <w:tc>
          <w:tcPr>
            <w:tcW w:w="8300" w:type="dxa"/>
            <w:tcBorders>
              <w:bottom w:val="single" w:sz="4" w:space="0" w:color="000000"/>
              <w:right w:val="single" w:sz="4" w:space="0" w:color="000000"/>
            </w:tcBorders>
            <w:shd w:val="clear" w:color="auto" w:fill="auto"/>
            <w:vAlign w:val="center"/>
          </w:tcPr>
          <w:p w14:paraId="14D90AF3" w14:textId="77777777" w:rsidR="003019DD" w:rsidRDefault="00F90702">
            <w:pPr>
              <w:rPr>
                <w:rFonts w:ascii="Avenir Next Regular" w:hAnsi="Avenir Next Regular" w:cs="Calibri"/>
                <w:color w:val="000000"/>
              </w:rPr>
            </w:pPr>
            <w:r>
              <w:rPr>
                <w:rFonts w:ascii="Avenir Next Regular" w:hAnsi="Avenir Next Regular" w:cs="Calibri"/>
                <w:color w:val="000000"/>
              </w:rPr>
              <w:t>Creare una banca dati regionale delle imprese e dei professionisti (di concerto con le rispettive rappresentanze, eventualmente da loro aggiornata) di modo da poter fare inserimenti dei soggetti attori della pratica in modo molto rapido</w:t>
            </w:r>
          </w:p>
        </w:tc>
      </w:tr>
      <w:tr w:rsidR="003019DD" w14:paraId="0D086BC2" w14:textId="77777777">
        <w:trPr>
          <w:trHeight w:val="720"/>
        </w:trPr>
        <w:tc>
          <w:tcPr>
            <w:tcW w:w="819" w:type="dxa"/>
            <w:tcBorders>
              <w:left w:val="single" w:sz="4" w:space="0" w:color="000000"/>
              <w:bottom w:val="single" w:sz="4" w:space="0" w:color="000000"/>
              <w:right w:val="single" w:sz="4" w:space="0" w:color="000000"/>
            </w:tcBorders>
            <w:shd w:val="clear" w:color="auto" w:fill="auto"/>
            <w:vAlign w:val="center"/>
          </w:tcPr>
          <w:p w14:paraId="5A479C2F"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4</w:t>
            </w:r>
          </w:p>
        </w:tc>
        <w:tc>
          <w:tcPr>
            <w:tcW w:w="8300" w:type="dxa"/>
            <w:tcBorders>
              <w:bottom w:val="single" w:sz="4" w:space="0" w:color="000000"/>
              <w:right w:val="single" w:sz="4" w:space="0" w:color="000000"/>
            </w:tcBorders>
            <w:shd w:val="clear" w:color="auto" w:fill="auto"/>
            <w:vAlign w:val="center"/>
          </w:tcPr>
          <w:p w14:paraId="083FA778" w14:textId="77777777" w:rsidR="003019DD" w:rsidRDefault="00F90702">
            <w:pPr>
              <w:rPr>
                <w:rFonts w:ascii="Avenir Next Regular" w:hAnsi="Avenir Next Regular" w:cs="Calibri"/>
                <w:color w:val="000000"/>
              </w:rPr>
            </w:pPr>
            <w:r>
              <w:rPr>
                <w:rFonts w:ascii="Avenir Next Regular" w:hAnsi="Avenir Next Regular" w:cs="Calibri"/>
                <w:color w:val="000000"/>
              </w:rPr>
              <w:t>La possibilità di accedere alle banche dati dei vari attori Ordini Camere di Commercio CNA... ecc in modo da attingere da questi i dati corretti</w:t>
            </w:r>
          </w:p>
        </w:tc>
      </w:tr>
      <w:tr w:rsidR="003019DD" w14:paraId="3CE4FDCE" w14:textId="77777777">
        <w:trPr>
          <w:trHeight w:val="720"/>
        </w:trPr>
        <w:tc>
          <w:tcPr>
            <w:tcW w:w="819" w:type="dxa"/>
            <w:tcBorders>
              <w:left w:val="single" w:sz="4" w:space="0" w:color="000000"/>
              <w:bottom w:val="single" w:sz="4" w:space="0" w:color="000000"/>
              <w:right w:val="single" w:sz="4" w:space="0" w:color="000000"/>
            </w:tcBorders>
            <w:shd w:val="clear" w:color="auto" w:fill="auto"/>
            <w:vAlign w:val="center"/>
          </w:tcPr>
          <w:p w14:paraId="171A97B1"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5</w:t>
            </w:r>
          </w:p>
        </w:tc>
        <w:tc>
          <w:tcPr>
            <w:tcW w:w="8300" w:type="dxa"/>
            <w:tcBorders>
              <w:bottom w:val="single" w:sz="4" w:space="0" w:color="000000"/>
              <w:right w:val="single" w:sz="4" w:space="0" w:color="000000"/>
            </w:tcBorders>
            <w:shd w:val="clear" w:color="auto" w:fill="auto"/>
            <w:vAlign w:val="center"/>
          </w:tcPr>
          <w:p w14:paraId="723A2D33" w14:textId="77777777" w:rsidR="003019DD" w:rsidRDefault="00F90702">
            <w:pPr>
              <w:rPr>
                <w:rFonts w:ascii="Avenir Next Regular" w:hAnsi="Avenir Next Regular" w:cs="Calibri"/>
                <w:color w:val="000000"/>
              </w:rPr>
            </w:pPr>
            <w:r>
              <w:rPr>
                <w:rFonts w:ascii="Avenir Next Regular" w:hAnsi="Avenir Next Regular" w:cs="Calibri"/>
                <w:color w:val="000000"/>
              </w:rPr>
              <w:t>Sistema integrato che parli direttamente o tramite invio autonomo con tutti i soggetti interessati dalla pratica previsti dalla legge</w:t>
            </w:r>
          </w:p>
        </w:tc>
      </w:tr>
      <w:tr w:rsidR="003019DD" w14:paraId="554D9874" w14:textId="77777777">
        <w:trPr>
          <w:trHeight w:val="2920"/>
        </w:trPr>
        <w:tc>
          <w:tcPr>
            <w:tcW w:w="819" w:type="dxa"/>
            <w:tcBorders>
              <w:left w:val="single" w:sz="4" w:space="0" w:color="000000"/>
              <w:bottom w:val="single" w:sz="4" w:space="0" w:color="000000"/>
              <w:right w:val="single" w:sz="4" w:space="0" w:color="000000"/>
            </w:tcBorders>
            <w:shd w:val="clear" w:color="auto" w:fill="auto"/>
            <w:vAlign w:val="center"/>
          </w:tcPr>
          <w:p w14:paraId="37E9A07A"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6</w:t>
            </w:r>
          </w:p>
        </w:tc>
        <w:tc>
          <w:tcPr>
            <w:tcW w:w="8300" w:type="dxa"/>
            <w:tcBorders>
              <w:bottom w:val="single" w:sz="4" w:space="0" w:color="000000"/>
              <w:right w:val="single" w:sz="4" w:space="0" w:color="000000"/>
            </w:tcBorders>
            <w:shd w:val="clear" w:color="auto" w:fill="auto"/>
            <w:vAlign w:val="center"/>
          </w:tcPr>
          <w:p w14:paraId="18BE3D97" w14:textId="77777777" w:rsidR="003019DD" w:rsidRDefault="00F90702">
            <w:pPr>
              <w:rPr>
                <w:rFonts w:ascii="Avenir Next Regular" w:hAnsi="Avenir Next Regular" w:cs="Calibri"/>
                <w:color w:val="000000"/>
              </w:rPr>
            </w:pPr>
            <w:r>
              <w:rPr>
                <w:rFonts w:ascii="Avenir Next Regular" w:hAnsi="Avenir Next Regular" w:cs="Calibri"/>
                <w:color w:val="000000"/>
              </w:rPr>
              <w:t>Le integrazioni con le banche dati e applicativi comunali deve essere predisposta tramite: 1 nella direzione dello scarico delle pratiche presentate su MUDE verso i gestionali proprietari, 2 nella direzione inversa da anagrafe - tributi ecc... con servizi nella direzione MUDE in modo da avere a disposizione dati già certificate dall'EP - attenzione che i SW privati certificati AGID dovrebbero avere pubblicati i servizi di integrazione con modalità esposta dei dati, nella realtà quasi nessuna Software House lo attua realmente arrecando anomalia nel libero mercato.</w:t>
            </w:r>
          </w:p>
        </w:tc>
      </w:tr>
      <w:tr w:rsidR="003019DD" w14:paraId="7D937FA9" w14:textId="77777777">
        <w:trPr>
          <w:trHeight w:val="1842"/>
        </w:trPr>
        <w:tc>
          <w:tcPr>
            <w:tcW w:w="819" w:type="dxa"/>
            <w:tcBorders>
              <w:left w:val="single" w:sz="4" w:space="0" w:color="000000"/>
              <w:bottom w:val="single" w:sz="4" w:space="0" w:color="000000"/>
              <w:right w:val="single" w:sz="4" w:space="0" w:color="000000"/>
            </w:tcBorders>
            <w:shd w:val="clear" w:color="auto" w:fill="auto"/>
            <w:vAlign w:val="center"/>
          </w:tcPr>
          <w:p w14:paraId="1CDE88BD"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7</w:t>
            </w:r>
          </w:p>
        </w:tc>
        <w:tc>
          <w:tcPr>
            <w:tcW w:w="8300" w:type="dxa"/>
            <w:tcBorders>
              <w:bottom w:val="single" w:sz="4" w:space="0" w:color="000000"/>
              <w:right w:val="single" w:sz="4" w:space="0" w:color="000000"/>
            </w:tcBorders>
            <w:shd w:val="clear" w:color="auto" w:fill="auto"/>
            <w:vAlign w:val="center"/>
          </w:tcPr>
          <w:p w14:paraId="20307209" w14:textId="77777777" w:rsidR="003019DD" w:rsidRDefault="00F90702">
            <w:pPr>
              <w:rPr>
                <w:rFonts w:ascii="Avenir Next Regular" w:hAnsi="Avenir Next Regular" w:cs="Calibri"/>
                <w:color w:val="000000"/>
              </w:rPr>
            </w:pPr>
            <w:r>
              <w:rPr>
                <w:rFonts w:ascii="Avenir Next Regular" w:hAnsi="Avenir Next Regular" w:cs="Calibri"/>
                <w:color w:val="000000"/>
              </w:rPr>
              <w:t>è indispensabile attuare una banca dati unica regionale ARI per evitare che i piccoli comuni debbano obbligatoriamente sottostare a mutevoli regole commerciali dei fornitori di SW , in questo modo si garantirebbe il vero valore di queste soluzioni che è la "banca dati" che resterebbe nelle sole mani della PA (Nivola)</w:t>
            </w:r>
          </w:p>
        </w:tc>
      </w:tr>
      <w:tr w:rsidR="003019DD" w14:paraId="5ABCED54" w14:textId="77777777">
        <w:trPr>
          <w:trHeight w:val="526"/>
        </w:trPr>
        <w:tc>
          <w:tcPr>
            <w:tcW w:w="819" w:type="dxa"/>
            <w:tcBorders>
              <w:left w:val="single" w:sz="4" w:space="0" w:color="000000"/>
              <w:bottom w:val="single" w:sz="4" w:space="0" w:color="000000"/>
              <w:right w:val="single" w:sz="4" w:space="0" w:color="000000"/>
            </w:tcBorders>
            <w:shd w:val="clear" w:color="auto" w:fill="auto"/>
            <w:vAlign w:val="center"/>
          </w:tcPr>
          <w:p w14:paraId="1E955FAC"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8</w:t>
            </w:r>
          </w:p>
        </w:tc>
        <w:tc>
          <w:tcPr>
            <w:tcW w:w="8300" w:type="dxa"/>
            <w:tcBorders>
              <w:bottom w:val="single" w:sz="4" w:space="0" w:color="000000"/>
              <w:right w:val="single" w:sz="4" w:space="0" w:color="000000"/>
            </w:tcBorders>
            <w:shd w:val="clear" w:color="auto" w:fill="auto"/>
            <w:vAlign w:val="center"/>
          </w:tcPr>
          <w:p w14:paraId="638404E7" w14:textId="77777777" w:rsidR="003019DD" w:rsidRDefault="00F90702">
            <w:pPr>
              <w:rPr>
                <w:rFonts w:ascii="Avenir Next Regular" w:hAnsi="Avenir Next Regular" w:cs="Calibri"/>
                <w:color w:val="000000"/>
              </w:rPr>
            </w:pPr>
            <w:r>
              <w:rPr>
                <w:rFonts w:ascii="Avenir Next Regular" w:hAnsi="Avenir Next Regular" w:cs="Calibri"/>
                <w:color w:val="000000"/>
              </w:rPr>
              <w:t>accesso alla piattaforma semplificato</w:t>
            </w:r>
          </w:p>
        </w:tc>
      </w:tr>
      <w:tr w:rsidR="003019DD" w14:paraId="6235FAA5" w14:textId="77777777">
        <w:trPr>
          <w:trHeight w:val="845"/>
        </w:trPr>
        <w:tc>
          <w:tcPr>
            <w:tcW w:w="819" w:type="dxa"/>
            <w:tcBorders>
              <w:left w:val="single" w:sz="4" w:space="0" w:color="000000"/>
              <w:bottom w:val="single" w:sz="4" w:space="0" w:color="000000"/>
              <w:right w:val="single" w:sz="4" w:space="0" w:color="000000"/>
            </w:tcBorders>
            <w:shd w:val="clear" w:color="auto" w:fill="auto"/>
            <w:vAlign w:val="center"/>
          </w:tcPr>
          <w:p w14:paraId="1CE9A06F"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lastRenderedPageBreak/>
              <w:t>9</w:t>
            </w:r>
          </w:p>
        </w:tc>
        <w:tc>
          <w:tcPr>
            <w:tcW w:w="8300" w:type="dxa"/>
            <w:tcBorders>
              <w:bottom w:val="single" w:sz="4" w:space="0" w:color="000000"/>
              <w:right w:val="single" w:sz="4" w:space="0" w:color="000000"/>
            </w:tcBorders>
            <w:shd w:val="clear" w:color="auto" w:fill="auto"/>
            <w:vAlign w:val="center"/>
          </w:tcPr>
          <w:p w14:paraId="49BC91E6" w14:textId="77777777" w:rsidR="003019DD" w:rsidRDefault="00F90702">
            <w:pPr>
              <w:rPr>
                <w:rFonts w:ascii="Avenir Next Regular" w:hAnsi="Avenir Next Regular" w:cs="Calibri"/>
                <w:color w:val="000000"/>
              </w:rPr>
            </w:pPr>
            <w:r>
              <w:rPr>
                <w:rFonts w:ascii="Avenir Next Regular" w:hAnsi="Avenir Next Regular" w:cs="Calibri"/>
                <w:color w:val="000000"/>
              </w:rPr>
              <w:t>inserire la normativa aggiornata ad esempio il Testo Unico per l'edilizia... in modo da fornire un supporto all'inquadramento della pratica</w:t>
            </w:r>
          </w:p>
        </w:tc>
      </w:tr>
      <w:tr w:rsidR="003019DD" w14:paraId="3451716F" w14:textId="77777777">
        <w:trPr>
          <w:trHeight w:val="1800"/>
        </w:trPr>
        <w:tc>
          <w:tcPr>
            <w:tcW w:w="819" w:type="dxa"/>
            <w:tcBorders>
              <w:left w:val="single" w:sz="4" w:space="0" w:color="000000"/>
              <w:bottom w:val="single" w:sz="4" w:space="0" w:color="000000"/>
              <w:right w:val="single" w:sz="4" w:space="0" w:color="000000"/>
            </w:tcBorders>
            <w:shd w:val="clear" w:color="auto" w:fill="auto"/>
            <w:vAlign w:val="center"/>
          </w:tcPr>
          <w:p w14:paraId="4BDD80D4"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10</w:t>
            </w:r>
          </w:p>
        </w:tc>
        <w:tc>
          <w:tcPr>
            <w:tcW w:w="8300" w:type="dxa"/>
            <w:tcBorders>
              <w:bottom w:val="single" w:sz="4" w:space="0" w:color="000000"/>
              <w:right w:val="single" w:sz="4" w:space="0" w:color="000000"/>
            </w:tcBorders>
            <w:shd w:val="clear" w:color="auto" w:fill="auto"/>
            <w:vAlign w:val="center"/>
          </w:tcPr>
          <w:p w14:paraId="0BA42CA5" w14:textId="77777777" w:rsidR="003019DD" w:rsidRDefault="00F90702">
            <w:pPr>
              <w:rPr>
                <w:rFonts w:ascii="Avenir Next Regular" w:hAnsi="Avenir Next Regular" w:cs="Calibri"/>
                <w:color w:val="000000"/>
              </w:rPr>
            </w:pPr>
            <w:r>
              <w:rPr>
                <w:rFonts w:ascii="Avenir Next Regular" w:hAnsi="Avenir Next Regular" w:cs="Calibri"/>
                <w:color w:val="000000"/>
              </w:rPr>
              <w:t>La banca dati ARI dovrebbe essere aggiornata in continuo con le pratiche presentate anche in altre piattaforme di modo da permettere di avere in automatico per quelle pratiche gestite comunque da MUDE (Notifica Preliminare, Denuncia Opere Strutturali) tutto l'archivio dei soggetti e dei dati della pratica svolta nel portale non MUDE</w:t>
            </w:r>
          </w:p>
        </w:tc>
      </w:tr>
      <w:tr w:rsidR="003019DD" w14:paraId="3E366863" w14:textId="77777777">
        <w:trPr>
          <w:trHeight w:val="1080"/>
        </w:trPr>
        <w:tc>
          <w:tcPr>
            <w:tcW w:w="819" w:type="dxa"/>
            <w:tcBorders>
              <w:left w:val="single" w:sz="4" w:space="0" w:color="000000"/>
              <w:bottom w:val="single" w:sz="4" w:space="0" w:color="000000"/>
              <w:right w:val="single" w:sz="4" w:space="0" w:color="000000"/>
            </w:tcBorders>
            <w:shd w:val="clear" w:color="auto" w:fill="auto"/>
            <w:vAlign w:val="center"/>
          </w:tcPr>
          <w:p w14:paraId="337991B5"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11</w:t>
            </w:r>
          </w:p>
        </w:tc>
        <w:tc>
          <w:tcPr>
            <w:tcW w:w="8300" w:type="dxa"/>
            <w:tcBorders>
              <w:bottom w:val="single" w:sz="4" w:space="0" w:color="000000"/>
              <w:right w:val="single" w:sz="4" w:space="0" w:color="000000"/>
            </w:tcBorders>
            <w:shd w:val="clear" w:color="auto" w:fill="auto"/>
            <w:vAlign w:val="center"/>
          </w:tcPr>
          <w:p w14:paraId="59D7932F" w14:textId="77777777" w:rsidR="003019DD" w:rsidRDefault="00F90702">
            <w:pPr>
              <w:rPr>
                <w:rFonts w:ascii="Avenir Next Regular" w:hAnsi="Avenir Next Regular" w:cs="Calibri"/>
                <w:color w:val="000000"/>
              </w:rPr>
            </w:pPr>
            <w:r>
              <w:rPr>
                <w:rFonts w:ascii="Avenir Next Regular" w:hAnsi="Avenir Next Regular" w:cs="Calibri"/>
                <w:color w:val="000000"/>
              </w:rPr>
              <w:t>Possibilità del sistema di caricare i dati da file pdf scaricate da altre banche dati (visure catastale, visura camerale, ecc) nel caso in cui il collegamento con esse non si potesse attuare.</w:t>
            </w:r>
          </w:p>
        </w:tc>
      </w:tr>
      <w:tr w:rsidR="003019DD" w14:paraId="67B09438" w14:textId="77777777">
        <w:trPr>
          <w:trHeight w:val="1800"/>
        </w:trPr>
        <w:tc>
          <w:tcPr>
            <w:tcW w:w="819" w:type="dxa"/>
            <w:tcBorders>
              <w:left w:val="single" w:sz="4" w:space="0" w:color="000000"/>
              <w:bottom w:val="single" w:sz="4" w:space="0" w:color="000000"/>
              <w:right w:val="single" w:sz="4" w:space="0" w:color="000000"/>
            </w:tcBorders>
            <w:shd w:val="clear" w:color="auto" w:fill="auto"/>
            <w:vAlign w:val="center"/>
          </w:tcPr>
          <w:p w14:paraId="484F7089" w14:textId="77777777" w:rsidR="003019DD" w:rsidRDefault="00F90702">
            <w:pPr>
              <w:jc w:val="center"/>
              <w:rPr>
                <w:rFonts w:ascii="Avenir Next Regular" w:hAnsi="Avenir Next Regular" w:cs="Calibri"/>
                <w:color w:val="000000"/>
              </w:rPr>
            </w:pPr>
            <w:r>
              <w:rPr>
                <w:rFonts w:ascii="Avenir Next Regular" w:hAnsi="Avenir Next Regular" w:cs="Calibri"/>
                <w:color w:val="000000"/>
              </w:rPr>
              <w:t>12</w:t>
            </w:r>
          </w:p>
        </w:tc>
        <w:tc>
          <w:tcPr>
            <w:tcW w:w="8300" w:type="dxa"/>
            <w:tcBorders>
              <w:bottom w:val="single" w:sz="4" w:space="0" w:color="000000"/>
              <w:right w:val="single" w:sz="4" w:space="0" w:color="000000"/>
            </w:tcBorders>
            <w:shd w:val="clear" w:color="auto" w:fill="auto"/>
            <w:vAlign w:val="center"/>
          </w:tcPr>
          <w:p w14:paraId="2A9D180E" w14:textId="77777777" w:rsidR="003019DD" w:rsidRDefault="00F90702">
            <w:pPr>
              <w:rPr>
                <w:rFonts w:ascii="Avenir Next Regular" w:hAnsi="Avenir Next Regular" w:cs="Calibri"/>
                <w:color w:val="000000"/>
              </w:rPr>
            </w:pPr>
            <w:r>
              <w:rPr>
                <w:rFonts w:ascii="Avenir Next Regular" w:hAnsi="Avenir Next Regular" w:cs="Calibri"/>
                <w:color w:val="000000"/>
              </w:rPr>
              <w:t>Nei rapporti con altre PA vanno indicate le procedure e documentazioni da trasmettere ai comuni che a loro volta o in automatico girano per competenza all’ente deputato a esprimere parere, documentazione da caratterizzare in ordine al tipo di intervento richiesto, incentivando enti privi MUDE o similare ad adottarlo</w:t>
            </w:r>
          </w:p>
        </w:tc>
      </w:tr>
    </w:tbl>
    <w:p w14:paraId="7C331EF4" w14:textId="77777777" w:rsidR="003019DD" w:rsidRDefault="00F90702">
      <w:pPr>
        <w:pStyle w:val="Titolo1"/>
        <w:jc w:val="both"/>
        <w:rPr>
          <w:rFonts w:ascii="Avenir Next" w:eastAsiaTheme="minorHAnsi" w:hAnsi="Avenir Next" w:cstheme="minorBidi"/>
          <w:b w:val="0"/>
          <w:bCs w:val="0"/>
          <w:kern w:val="0"/>
          <w:sz w:val="24"/>
          <w:szCs w:val="24"/>
          <w:lang w:eastAsia="en-US"/>
        </w:rPr>
      </w:pPr>
      <w:r>
        <w:rPr>
          <w:rFonts w:ascii="Avenir Next" w:eastAsiaTheme="minorHAnsi" w:hAnsi="Avenir Next" w:cstheme="minorBidi"/>
          <w:b w:val="0"/>
          <w:bCs w:val="0"/>
          <w:kern w:val="0"/>
          <w:sz w:val="24"/>
          <w:szCs w:val="24"/>
          <w:lang w:eastAsia="en-US"/>
        </w:rPr>
        <w:t xml:space="preserve"> </w:t>
      </w:r>
    </w:p>
    <w:p w14:paraId="50376516" w14:textId="77777777" w:rsidR="003019DD" w:rsidRDefault="003019DD">
      <w:pPr>
        <w:pStyle w:val="Titolo1"/>
        <w:jc w:val="both"/>
        <w:rPr>
          <w:rFonts w:ascii="Avenir Next" w:eastAsiaTheme="minorHAnsi" w:hAnsi="Avenir Next" w:cstheme="minorBidi"/>
          <w:b w:val="0"/>
          <w:bCs w:val="0"/>
          <w:kern w:val="0"/>
          <w:sz w:val="24"/>
          <w:szCs w:val="24"/>
          <w:lang w:eastAsia="en-US"/>
        </w:rPr>
      </w:pPr>
    </w:p>
    <w:p w14:paraId="782DCCF0" w14:textId="77777777" w:rsidR="003019DD" w:rsidRDefault="00F90702">
      <w:pPr>
        <w:pStyle w:val="Titolo1"/>
        <w:spacing w:before="280" w:after="280"/>
        <w:jc w:val="both"/>
      </w:pPr>
      <w:r>
        <w:rPr>
          <w:rFonts w:ascii="Avenir Next" w:eastAsiaTheme="minorHAnsi" w:hAnsi="Avenir Next" w:cstheme="minorBidi"/>
          <w:b w:val="0"/>
          <w:bCs w:val="0"/>
          <w:kern w:val="0"/>
          <w:sz w:val="24"/>
          <w:szCs w:val="24"/>
          <w:lang w:eastAsia="en-US"/>
        </w:rPr>
        <w:t xml:space="preserve"> </w:t>
      </w:r>
    </w:p>
    <w:sectPr w:rsidR="003019DD">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8DC3" w14:textId="77777777" w:rsidR="00C0030E" w:rsidRDefault="00C0030E">
      <w:r>
        <w:separator/>
      </w:r>
    </w:p>
  </w:endnote>
  <w:endnote w:type="continuationSeparator" w:id="0">
    <w:p w14:paraId="19FA2D63" w14:textId="77777777" w:rsidR="00C0030E" w:rsidRDefault="00C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Avenir Next">
    <w:altName w:val="Cambria"/>
    <w:charset w:val="00"/>
    <w:family w:val="roman"/>
    <w:pitch w:val="variable"/>
  </w:font>
  <w:font w:name="Avenir Next Regular">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67F8" w14:textId="77777777" w:rsidR="003019DD" w:rsidRDefault="00F90702">
    <w:pPr>
      <w:pStyle w:val="Pidipagina"/>
    </w:pPr>
    <w:r>
      <w:rPr>
        <w:noProof/>
      </w:rPr>
      <w:drawing>
        <wp:inline distT="0" distB="0" distL="0" distR="7620" wp14:anchorId="55D9A989" wp14:editId="1A49C33D">
          <wp:extent cx="5136515" cy="83820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1"/>
                  <a:stretch>
                    <a:fillRect/>
                  </a:stretch>
                </pic:blipFill>
                <pic:spPr bwMode="auto">
                  <a:xfrm>
                    <a:off x="0" y="0"/>
                    <a:ext cx="5136515" cy="838200"/>
                  </a:xfrm>
                  <a:prstGeom prst="rect">
                    <a:avLst/>
                  </a:prstGeom>
                </pic:spPr>
              </pic:pic>
            </a:graphicData>
          </a:graphic>
        </wp:inline>
      </w:drawing>
    </w:r>
  </w:p>
  <w:p w14:paraId="069569EB" w14:textId="77777777" w:rsidR="003019DD" w:rsidRDefault="003019DD">
    <w:pPr>
      <w:pStyle w:val="Pidipagina"/>
      <w:rPr>
        <w:rFonts w:ascii="Avenir Next" w:hAnsi="Avenir Nex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14C4" w14:textId="77777777" w:rsidR="00C0030E" w:rsidRDefault="00C0030E">
      <w:r>
        <w:separator/>
      </w:r>
    </w:p>
  </w:footnote>
  <w:footnote w:type="continuationSeparator" w:id="0">
    <w:p w14:paraId="4C8786C9" w14:textId="77777777" w:rsidR="00C0030E" w:rsidRDefault="00C0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0A49" w14:textId="77777777" w:rsidR="003019DD" w:rsidRDefault="00F90702">
    <w:pPr>
      <w:pStyle w:val="Intestazione"/>
    </w:pPr>
    <w:r>
      <w:rPr>
        <w:noProof/>
      </w:rPr>
      <w:drawing>
        <wp:inline distT="0" distB="0" distL="0" distR="0" wp14:anchorId="7BC720AE" wp14:editId="213DAB19">
          <wp:extent cx="6120130" cy="1355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6120130" cy="1355725"/>
                  </a:xfrm>
                  <a:prstGeom prst="rect">
                    <a:avLst/>
                  </a:prstGeom>
                </pic:spPr>
              </pic:pic>
            </a:graphicData>
          </a:graphic>
        </wp:inline>
      </w:drawing>
    </w:r>
  </w:p>
  <w:p w14:paraId="19C14EFD" w14:textId="77777777" w:rsidR="003019DD" w:rsidRDefault="003019D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DD"/>
    <w:rsid w:val="00031D7D"/>
    <w:rsid w:val="00262B18"/>
    <w:rsid w:val="003019DD"/>
    <w:rsid w:val="003A76B2"/>
    <w:rsid w:val="0054790B"/>
    <w:rsid w:val="006B6233"/>
    <w:rsid w:val="007C770E"/>
    <w:rsid w:val="00984227"/>
    <w:rsid w:val="00C0030E"/>
    <w:rsid w:val="00C029E8"/>
    <w:rsid w:val="00E5708B"/>
    <w:rsid w:val="00F9070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0C47"/>
  <w15:docId w15:val="{300FDABE-B7F2-4130-B5A2-E683716A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0FE5"/>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D755B4"/>
    <w:pPr>
      <w:spacing w:beforeAutospacing="1" w:afterAutospacing="1"/>
      <w:outlineLvl w:val="0"/>
    </w:pPr>
    <w:rPr>
      <w:b/>
      <w:bCs/>
      <w:kern w:val="2"/>
      <w:sz w:val="48"/>
      <w:szCs w:val="48"/>
    </w:rPr>
  </w:style>
  <w:style w:type="paragraph" w:styleId="Titolo3">
    <w:name w:val="heading 3"/>
    <w:basedOn w:val="Normale"/>
    <w:next w:val="Normale"/>
    <w:link w:val="Titolo3Carattere"/>
    <w:uiPriority w:val="9"/>
    <w:semiHidden/>
    <w:unhideWhenUsed/>
    <w:qFormat/>
    <w:rsid w:val="006B623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D755B4"/>
    <w:rPr>
      <w:rFonts w:ascii="Times New Roman" w:eastAsia="Times New Roman" w:hAnsi="Times New Roman" w:cs="Times New Roman"/>
      <w:b/>
      <w:bCs/>
      <w:kern w:val="2"/>
      <w:sz w:val="48"/>
      <w:szCs w:val="48"/>
      <w:lang w:eastAsia="it-IT"/>
    </w:rPr>
  </w:style>
  <w:style w:type="character" w:customStyle="1" w:styleId="CollegamentoInternet">
    <w:name w:val="Collegamento Internet"/>
    <w:basedOn w:val="Carpredefinitoparagrafo"/>
    <w:uiPriority w:val="99"/>
    <w:unhideWhenUsed/>
    <w:rsid w:val="006C2515"/>
    <w:rPr>
      <w:color w:val="0000FF"/>
      <w:u w:val="single"/>
    </w:rPr>
  </w:style>
  <w:style w:type="character" w:styleId="Enfasidelicata">
    <w:name w:val="Subtle Emphasis"/>
    <w:basedOn w:val="Carpredefinitoparagrafo"/>
    <w:uiPriority w:val="19"/>
    <w:qFormat/>
    <w:rsid w:val="00265C2A"/>
    <w:rPr>
      <w:i/>
      <w:iCs/>
      <w:color w:val="404040" w:themeColor="text1" w:themeTint="BF"/>
    </w:rPr>
  </w:style>
  <w:style w:type="character" w:customStyle="1" w:styleId="style-link-2t2gt">
    <w:name w:val="style-link-2t2gt"/>
    <w:basedOn w:val="Carpredefinitoparagrafo"/>
    <w:qFormat/>
    <w:rsid w:val="00826E6F"/>
  </w:style>
  <w:style w:type="character" w:customStyle="1" w:styleId="style-chat-msg-3pazj">
    <w:name w:val="style-chat-msg-3pazj"/>
    <w:basedOn w:val="Carpredefinitoparagrafo"/>
    <w:qFormat/>
    <w:rsid w:val="00826E6F"/>
  </w:style>
  <w:style w:type="character" w:styleId="Menzionenonrisolta">
    <w:name w:val="Unresolved Mention"/>
    <w:basedOn w:val="Carpredefinitoparagrafo"/>
    <w:uiPriority w:val="99"/>
    <w:semiHidden/>
    <w:unhideWhenUsed/>
    <w:qFormat/>
    <w:rsid w:val="00AE2DD7"/>
    <w:rPr>
      <w:color w:val="605E5C"/>
      <w:shd w:val="clear" w:color="auto" w:fill="E1DFDD"/>
    </w:rPr>
  </w:style>
  <w:style w:type="character" w:styleId="Collegamentovisitato">
    <w:name w:val="FollowedHyperlink"/>
    <w:basedOn w:val="Carpredefinitoparagrafo"/>
    <w:uiPriority w:val="99"/>
    <w:semiHidden/>
    <w:unhideWhenUsed/>
    <w:qFormat/>
    <w:rsid w:val="00DF66D7"/>
    <w:rPr>
      <w:color w:val="954F72" w:themeColor="followedHyperlink"/>
      <w:u w:val="single"/>
    </w:rPr>
  </w:style>
  <w:style w:type="character" w:customStyle="1" w:styleId="IntestazioneCarattere">
    <w:name w:val="Intestazione Carattere"/>
    <w:basedOn w:val="Carpredefinitoparagrafo"/>
    <w:link w:val="Intestazione"/>
    <w:uiPriority w:val="99"/>
    <w:qFormat/>
    <w:rsid w:val="008F56F4"/>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F56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700F27"/>
    <w:rPr>
      <w:rFonts w:ascii="Segoe UI" w:eastAsia="Times New Roman" w:hAnsi="Segoe UI" w:cs="Segoe UI"/>
      <w:sz w:val="18"/>
      <w:szCs w:val="18"/>
      <w:lang w:eastAsia="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sz w:val="28"/>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C94A29"/>
    <w:pPr>
      <w:spacing w:after="160" w:line="259"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qFormat/>
    <w:rsid w:val="006C2515"/>
    <w:pPr>
      <w:spacing w:beforeAutospacing="1" w:afterAutospacing="1"/>
    </w:pPr>
  </w:style>
  <w:style w:type="paragraph" w:styleId="Intestazione">
    <w:name w:val="header"/>
    <w:basedOn w:val="Normale"/>
    <w:link w:val="IntestazioneCarattere"/>
    <w:uiPriority w:val="99"/>
    <w:unhideWhenUsed/>
    <w:rsid w:val="008F56F4"/>
    <w:pPr>
      <w:tabs>
        <w:tab w:val="center" w:pos="4819"/>
        <w:tab w:val="right" w:pos="9638"/>
      </w:tabs>
    </w:pPr>
  </w:style>
  <w:style w:type="paragraph" w:styleId="Pidipagina">
    <w:name w:val="footer"/>
    <w:basedOn w:val="Normale"/>
    <w:link w:val="PidipaginaCarattere"/>
    <w:uiPriority w:val="99"/>
    <w:unhideWhenUsed/>
    <w:rsid w:val="008F56F4"/>
    <w:pPr>
      <w:tabs>
        <w:tab w:val="center" w:pos="4819"/>
        <w:tab w:val="right" w:pos="9638"/>
      </w:tabs>
    </w:pPr>
  </w:style>
  <w:style w:type="paragraph" w:styleId="Testofumetto">
    <w:name w:val="Balloon Text"/>
    <w:basedOn w:val="Normale"/>
    <w:link w:val="TestofumettoCarattere"/>
    <w:uiPriority w:val="99"/>
    <w:semiHidden/>
    <w:unhideWhenUsed/>
    <w:qFormat/>
    <w:rsid w:val="00700F27"/>
    <w:rPr>
      <w:rFonts w:ascii="Segoe UI" w:hAnsi="Segoe UI" w:cs="Segoe UI"/>
      <w:sz w:val="18"/>
      <w:szCs w:val="18"/>
    </w:rPr>
  </w:style>
  <w:style w:type="table" w:styleId="Grigliatabella">
    <w:name w:val="Table Grid"/>
    <w:basedOn w:val="Tabellanormale"/>
    <w:uiPriority w:val="39"/>
    <w:rsid w:val="0024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84227"/>
    <w:rPr>
      <w:b/>
      <w:bCs/>
    </w:rPr>
  </w:style>
  <w:style w:type="character" w:customStyle="1" w:styleId="Titolo3Carattere">
    <w:name w:val="Titolo 3 Carattere"/>
    <w:basedOn w:val="Carpredefinitoparagrafo"/>
    <w:link w:val="Titolo3"/>
    <w:uiPriority w:val="9"/>
    <w:semiHidden/>
    <w:rsid w:val="006B6233"/>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semiHidden/>
    <w:unhideWhenUsed/>
    <w:rsid w:val="006B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8237">
      <w:bodyDiv w:val="1"/>
      <w:marLeft w:val="0"/>
      <w:marRight w:val="0"/>
      <w:marTop w:val="0"/>
      <w:marBottom w:val="0"/>
      <w:divBdr>
        <w:top w:val="none" w:sz="0" w:space="0" w:color="auto"/>
        <w:left w:val="none" w:sz="0" w:space="0" w:color="auto"/>
        <w:bottom w:val="none" w:sz="0" w:space="0" w:color="auto"/>
        <w:right w:val="none" w:sz="0" w:space="0" w:color="auto"/>
      </w:divBdr>
    </w:div>
    <w:div w:id="22067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rding.tori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81A7-300C-4EC2-A854-AD7498A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1345</Words>
  <Characters>7671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GRIFFA Silvana 625</dc:creator>
  <dc:description/>
  <cp:lastModifiedBy>GRIFFA Silvana 625</cp:lastModifiedBy>
  <cp:revision>7</cp:revision>
  <dcterms:created xsi:type="dcterms:W3CDTF">2021-02-24T07:24:00Z</dcterms:created>
  <dcterms:modified xsi:type="dcterms:W3CDTF">2021-04-07T07:15:00Z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